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84"/>
        <w:jc w:val="right"/>
        <w:rPr>
          <w:rFonts w:hint="eastAsia" w:ascii="宋体" w:hAnsi="宋体" w:eastAsia="宋体"/>
          <w:color w:val="000000" w:themeColor="text1"/>
          <w:sz w:val="28"/>
          <w:szCs w:val="28"/>
          <w:highlight w:val="none"/>
          <w:lang w:eastAsia="zh-CN"/>
          <w14:textFill>
            <w14:solidFill>
              <w14:schemeClr w14:val="tx1"/>
            </w14:solidFill>
          </w14:textFill>
        </w:rPr>
      </w:pPr>
      <w:r/>
      <w:bookmarkStart w:id="0" w:name="_Hlk69393945"/>
      <w:r/>
      <w:bookmarkStart w:id="1" w:name="_Toc528771312"/>
      <w:r/>
      <w:bookmarkStart w:id="2" w:name="_Toc27744861"/>
      <w:r>
        <w:rPr>
          <w:rFonts w:hint="eastAsia" w:ascii="宋体" w:hAnsi="宋体"/>
          <w:color w:val="000000" w:themeColor="text1"/>
          <w:sz w:val="28"/>
          <w:szCs w:val="28"/>
          <w:highlight w:val="none"/>
          <w14:textFill>
            <w14:solidFill>
              <w14:schemeClr w14:val="tx1"/>
            </w14:solidFill>
          </w14:textFill>
        </w:rPr>
        <w:t xml:space="preserve">项目编号：</w:t>
      </w:r>
      <w:r>
        <w:rPr>
          <w:rFonts w:hint="eastAsia" w:ascii="宋体" w:hAnsi="宋体"/>
          <w:color w:val="000000" w:themeColor="text1"/>
          <w:sz w:val="28"/>
          <w:szCs w:val="28"/>
          <w:highlight w:val="none"/>
          <w:lang w:eastAsia="zh-CN"/>
          <w14:textFill>
            <w14:solidFill>
              <w14:schemeClr w14:val="tx1"/>
            </w14:solidFill>
          </w14:textFill>
        </w:rPr>
        <w:t xml:space="preserve">JSZC-321012-SHBZ-C2026-0009</w:t>
      </w:r>
      <w:r/>
    </w:p>
    <w:p>
      <w:pPr>
        <w:ind w:right="84"/>
        <w:jc w:val="right"/>
        <w:rPr>
          <w:rFonts w:ascii="宋体" w:hAnsi="宋体"/>
          <w:color w:val="000000" w:themeColor="text1"/>
          <w:sz w:val="40"/>
          <w:szCs w:val="36"/>
          <w:highlight w:val="none"/>
          <w14:textFill>
            <w14:solidFill>
              <w14:schemeClr w14:val="tx1"/>
            </w14:solidFill>
          </w14:textFill>
        </w:rPr>
      </w:pPr>
      <w:r>
        <w:rPr>
          <w:rFonts w:ascii="宋体" w:hAnsi="宋体"/>
          <w:color w:val="000000" w:themeColor="text1"/>
          <w:sz w:val="40"/>
          <w:szCs w:val="36"/>
          <w:highlight w:val="none"/>
          <w14:textFill>
            <w14:solidFill>
              <w14:schemeClr w14:val="tx1"/>
            </w14:solidFill>
          </w14:textFill>
        </w:rPr>
      </w:r>
      <w:r/>
    </w:p>
    <w:p>
      <w:pPr>
        <w:ind w:right="84"/>
        <w:jc w:val="center"/>
        <w:rPr>
          <w:rFonts w:ascii="宋体" w:hAnsi="宋体"/>
          <w:color w:val="000000" w:themeColor="text1"/>
          <w:sz w:val="40"/>
          <w:szCs w:val="36"/>
          <w:highlight w:val="none"/>
          <w14:textFill>
            <w14:solidFill>
              <w14:schemeClr w14:val="tx1"/>
            </w14:solidFill>
          </w14:textFill>
        </w:rPr>
      </w:pPr>
      <w:r>
        <w:rPr>
          <w:rFonts w:ascii="宋体" w:hAnsi="宋体"/>
          <w:color w:val="000000" w:themeColor="text1"/>
          <w:sz w:val="40"/>
          <w:szCs w:val="36"/>
          <w:highlight w:val="none"/>
          <w14:textFill>
            <w14:solidFill>
              <w14:schemeClr w14:val="tx1"/>
            </w14:solidFill>
          </w14:textFill>
        </w:rPr>
      </w:r>
      <w:r/>
    </w:p>
    <w:p>
      <w:pPr>
        <w:ind w:right="84"/>
        <w:jc w:val="center"/>
        <w:spacing w:line="360" w:lineRule="auto"/>
        <w:rPr>
          <w:rFonts w:ascii="宋体" w:hAnsi="宋体"/>
          <w:color w:val="000000" w:themeColor="text1"/>
          <w:sz w:val="40"/>
          <w:szCs w:val="36"/>
          <w:highlight w:val="none"/>
          <w14:textFill>
            <w14:solidFill>
              <w14:schemeClr w14:val="tx1"/>
            </w14:solidFill>
          </w14:textFill>
        </w:rPr>
        <w:outlineLvl w:val="0"/>
      </w:pPr>
      <w:r>
        <w:rPr>
          <w:rFonts w:hint="eastAsia" w:ascii="宋体" w:hAnsi="宋体"/>
          <w:color w:val="000000" w:themeColor="text1"/>
          <w:sz w:val="40"/>
          <w:szCs w:val="36"/>
          <w:highlight w:val="none"/>
          <w14:textFill>
            <w14:solidFill>
              <w14:schemeClr w14:val="tx1"/>
            </w14:solidFill>
          </w14:textFill>
        </w:rPr>
        <w:t xml:space="preserve">丁泰河沿线环境应急三级防控体系建设项目（市政雨水管网及提升泵）</w:t>
      </w:r>
      <w:r/>
    </w:p>
    <w:p>
      <w:pPr>
        <w:ind w:right="84"/>
        <w:jc w:val="center"/>
        <w:spacing w:line="360" w:lineRule="auto"/>
        <w:rPr>
          <w:rFonts w:ascii="宋体" w:hAnsi="宋体"/>
          <w:color w:val="000000" w:themeColor="text1"/>
          <w:sz w:val="40"/>
          <w:szCs w:val="36"/>
          <w:highlight w:val="none"/>
          <w14:textFill>
            <w14:solidFill>
              <w14:schemeClr w14:val="tx1"/>
            </w14:solidFill>
          </w14:textFill>
        </w:rPr>
        <w:outlineLvl w:val="0"/>
      </w:pPr>
      <w:r/>
      <w:bookmarkStart w:id="3" w:name="_Toc888"/>
      <w:r>
        <w:rPr>
          <w:rFonts w:hint="eastAsia" w:ascii="宋体" w:hAnsi="宋体"/>
          <w:color w:val="000000" w:themeColor="text1"/>
          <w:sz w:val="40"/>
          <w:szCs w:val="36"/>
          <w:highlight w:val="none"/>
          <w14:textFill>
            <w14:solidFill>
              <w14:schemeClr w14:val="tx1"/>
            </w14:solidFill>
          </w14:textFill>
        </w:rPr>
        <w:t xml:space="preserve">竞争性磋商文件</w:t>
      </w:r>
      <w:bookmarkEnd w:id="3"/>
      <w:r/>
      <w:r/>
    </w:p>
    <w:p>
      <w:pPr>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rPr>
          <w:rFonts w:ascii="宋体" w:hAnsi="宋体"/>
          <w:color w:val="000000" w:themeColor="text1"/>
          <w:sz w:val="32"/>
          <w:szCs w:val="36"/>
          <w:highlight w:val="none"/>
          <w14:textFill>
            <w14:solidFill>
              <w14:schemeClr w14:val="tx1"/>
            </w14:solidFill>
          </w14:textFill>
        </w:rPr>
      </w:pPr>
      <w:r>
        <w:rPr>
          <w:rFonts w:ascii="宋体" w:hAnsi="宋体"/>
          <w:color w:val="000000" w:themeColor="text1"/>
          <w:sz w:val="32"/>
          <w:szCs w:val="36"/>
          <w:highlight w:val="none"/>
          <w14:textFill>
            <w14:solidFill>
              <w14:schemeClr w14:val="tx1"/>
            </w14:solidFill>
          </w14:textFill>
        </w:rPr>
      </w:r>
      <w:r/>
    </w:p>
    <w:p>
      <w:pPr>
        <w:jc w:val="center"/>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mc:AlternateContent>
          <mc:Choice Requires="wpg">
            <w:drawing>
              <wp:inline xmlns:wp="http://schemas.openxmlformats.org/drawingml/2006/wordprocessingDrawing" distT="0" distB="0" distL="0" distR="0">
                <wp:extent cx="2065655" cy="2065655"/>
                <wp:effectExtent l="0" t="0" r="6985" b="6985"/>
                <wp:docPr id="5" name="图片 7"/>
                <wp:cNvGraphicFramePr/>
                <a:graphic xmlns:a="http://schemas.openxmlformats.org/drawingml/2006/main">
                  <a:graphicData uri="http://schemas.openxmlformats.org/drawingml/2006/picture">
                    <pic:pic xmlns:pic="http://schemas.openxmlformats.org/drawingml/2006/picture">
                      <pic:nvPicPr>
                        <pic:cNvPr id="5" name="图片 7"/>
                        <pic:cNvPicPr/>
                        <pic:nvPr/>
                      </pic:nvPicPr>
                      <pic:blipFill>
                        <a:blip r:embed="rId22"/>
                        <a:stretch/>
                      </pic:blipFill>
                      <pic:spPr bwMode="auto">
                        <a:xfrm>
                          <a:off x="0" y="0"/>
                          <a:ext cx="2065744" cy="20657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7pt;height:162.7pt;mso-wrap-distance-left:0.0pt;mso-wrap-distance-top:0.0pt;mso-wrap-distance-right:0.0pt;mso-wrap-distance-bottom:0.0pt;" stroked="f">
                <v:path textboxrect="0,0,0,0"/>
                <v:imagedata r:id="rId22" o:title=""/>
              </v:shape>
            </w:pict>
          </mc:Fallback>
        </mc:AlternateContent>
      </w:r>
      <w:r/>
    </w:p>
    <w:p>
      <w:pPr>
        <w:pStyle w:val="1094"/>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rPr>
          <w:rFonts w:ascii="宋体" w:hAnsi="宋体"/>
          <w:color w:val="000000" w:themeColor="text1"/>
          <w:sz w:val="32"/>
          <w:szCs w:val="36"/>
          <w:highlight w:val="none"/>
          <w14:textFill>
            <w14:solidFill>
              <w14:schemeClr w14:val="tx1"/>
            </w14:solidFill>
          </w14:textFill>
        </w:rPr>
      </w:pPr>
      <w:r>
        <w:rPr>
          <w:rFonts w:ascii="宋体" w:hAnsi="宋体"/>
          <w:color w:val="000000" w:themeColor="text1"/>
          <w:sz w:val="32"/>
          <w:szCs w:val="36"/>
          <w:highlight w:val="none"/>
          <w14:textFill>
            <w14:solidFill>
              <w14:schemeClr w14:val="tx1"/>
            </w14:solidFill>
          </w14:textFill>
        </w:rPr>
      </w:r>
      <w:r/>
    </w:p>
    <w:p>
      <w:pPr>
        <w:rPr>
          <w:rFonts w:ascii="宋体" w:hAnsi="宋体"/>
          <w:color w:val="000000" w:themeColor="text1"/>
          <w:sz w:val="32"/>
          <w:szCs w:val="36"/>
          <w:highlight w:val="none"/>
          <w14:textFill>
            <w14:solidFill>
              <w14:schemeClr w14:val="tx1"/>
            </w14:solidFill>
          </w14:textFill>
        </w:rPr>
      </w:pPr>
      <w:r>
        <w:rPr>
          <w:rFonts w:ascii="宋体" w:hAnsi="宋体"/>
          <w:color w:val="000000" w:themeColor="text1"/>
          <w:sz w:val="32"/>
          <w:szCs w:val="36"/>
          <w:highlight w:val="none"/>
          <w14:textFill>
            <w14:solidFill>
              <w14:schemeClr w14:val="tx1"/>
            </w14:solidFill>
          </w14:textFill>
        </w:rPr>
      </w:r>
      <w:r/>
    </w:p>
    <w:p>
      <w:pPr>
        <w:rPr>
          <w:rFonts w:ascii="宋体" w:hAnsi="宋体"/>
          <w:color w:val="000000" w:themeColor="text1"/>
          <w:sz w:val="32"/>
          <w:szCs w:val="36"/>
          <w:highlight w:val="none"/>
          <w14:textFill>
            <w14:solidFill>
              <w14:schemeClr w14:val="tx1"/>
            </w14:solidFill>
          </w14:textFill>
        </w:rPr>
      </w:pPr>
      <w:r>
        <w:rPr>
          <w:rFonts w:ascii="宋体" w:hAnsi="宋体"/>
          <w:color w:val="000000" w:themeColor="text1"/>
          <w:sz w:val="32"/>
          <w:szCs w:val="36"/>
          <w:highlight w:val="none"/>
          <w14:textFill>
            <w14:solidFill>
              <w14:schemeClr w14:val="tx1"/>
            </w14:solidFill>
          </w14:textFill>
        </w:rPr>
      </w:r>
      <w:r/>
    </w:p>
    <w:p>
      <w:pPr>
        <w:ind w:right="84" w:firstLine="360"/>
        <w:spacing w:line="360" w:lineRule="auto"/>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 xml:space="preserve">采购人：扬州市江都区丁沟镇人民政府</w:t>
      </w:r>
      <w:r/>
    </w:p>
    <w:p>
      <w:pPr>
        <w:ind w:right="84"/>
        <w:jc w:val="center"/>
        <w:spacing w:line="360" w:lineRule="auto"/>
        <w:rPr>
          <w:rFonts w:ascii="宋体" w:hAnsi="宋体"/>
          <w:color w:val="000000" w:themeColor="text1"/>
          <w:sz w:val="40"/>
          <w:szCs w:val="40"/>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 xml:space="preserve">代理机构：苏合邦筑工程咨询集团股份有限公司</w:t>
      </w:r>
      <w:r/>
    </w:p>
    <w:p>
      <w:pPr>
        <w:pStyle w:val="908"/>
        <w:ind w:right="298"/>
        <w:spacing w:before="192"/>
        <w:rPr>
          <w:rFonts w:cs="Times New Roman"/>
          <w:b w:val="0"/>
          <w:bCs w:val="0"/>
          <w:color w:val="000000" w:themeColor="text1"/>
          <w:sz w:val="40"/>
          <w:highlight w:val="none"/>
          <w14:textFill>
            <w14:solidFill>
              <w14:schemeClr w14:val="tx1"/>
            </w14:solidFill>
          </w14:textFill>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3" w:bottom="1440" w:left="1803" w:header="851" w:footer="992" w:gutter="0"/>
          <w:pgNumType w:start="1"/>
          <w:cols w:num="1" w:sep="0" w:space="720" w:equalWidth="1"/>
          <w:docGrid w:linePitch="360"/>
          <w:titlePg/>
        </w:sectPr>
      </w:pPr>
      <w:r/>
      <w:bookmarkStart w:id="4" w:name="_Toc18536"/>
      <w:r>
        <w:rPr>
          <w:rFonts w:hint="eastAsia" w:cs="Times New Roman"/>
          <w:b w:val="0"/>
          <w:bCs w:val="0"/>
          <w:color w:val="000000" w:themeColor="text1"/>
          <w:sz w:val="40"/>
          <w:highlight w:val="none"/>
          <w14:textFill>
            <w14:solidFill>
              <w14:schemeClr w14:val="tx1"/>
            </w14:solidFill>
          </w14:textFill>
        </w:rPr>
        <w:t xml:space="preserve">二〇二六年</w:t>
      </w:r>
      <w:bookmarkEnd w:id="4"/>
      <w:r>
        <w:rPr>
          <w:rFonts w:hint="eastAsia" w:cs="Times New Roman"/>
          <w:b w:val="0"/>
          <w:bCs w:val="0"/>
          <w:color w:val="000000" w:themeColor="text1"/>
          <w:sz w:val="40"/>
          <w:highlight w:val="none"/>
          <w14:textFill>
            <w14:solidFill>
              <w14:schemeClr w14:val="tx1"/>
            </w14:solidFill>
          </w14:textFill>
        </w:rPr>
        <w:t xml:space="preserve">四月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dt>
      <w:sdtPr>
        <w15:appearance w15:val="boundingBox"/>
        <w:id w:val="147464493"/>
        <w:docPartObj>
          <w:docPartGallery w:val="Table of Contents"/>
          <w:docPartUnique w:val="true"/>
        </w:docPartObj>
        <w:rPr>
          <w:rFonts w:ascii="宋体" w:hAnsi="宋体"/>
          <w:color w:val="000000" w:themeColor="text1"/>
          <w:highlight w:val="none"/>
          <w14:textFill>
            <w14:solidFill>
              <w14:schemeClr w14:val="tx1"/>
            </w14:solidFill>
          </w14:textFill>
        </w:rPr>
      </w:sdtPr>
      <w:sdtContent>
        <w:p>
          <w:pPr>
            <w:jc w:val="center"/>
            <w:rPr>
              <w:color w:val="000000" w:themeColor="text1"/>
              <w:highlight w:val="none"/>
              <w14:textFill>
                <w14:solidFill>
                  <w14:schemeClr w14:val="tx1"/>
                </w14:solidFill>
              </w14:textFill>
            </w:rPr>
          </w:pPr>
          <w:r>
            <w:rPr>
              <w:rFonts w:ascii="宋体" w:hAnsi="宋体"/>
              <w:color w:val="000000" w:themeColor="text1"/>
              <w:sz w:val="28"/>
              <w:szCs w:val="32"/>
              <w:highlight w:val="none"/>
              <w14:textFill>
                <w14:solidFill>
                  <w14:schemeClr w14:val="tx1"/>
                </w14:solidFill>
              </w14:textFill>
            </w:rPr>
            <w:t xml:space="preserve">目录</w:t>
          </w:r>
          <w:r/>
        </w:p>
        <w:p>
          <w:pPr>
            <w:pStyle w:val="930"/>
            <w:tabs>
              <w:tab w:val="right" w:pos="83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"1-1" \h \u </w:instrText>
          </w:r>
          <w:r>
            <w:rPr>
              <w:color w:val="000000" w:themeColor="text1"/>
              <w:highlight w:val="none"/>
              <w14:textFill>
                <w14:solidFill>
                  <w14:schemeClr w14:val="tx1"/>
                </w14:solidFill>
              </w14:textFill>
            </w:rPr>
            <w:fldChar w:fldCharType="separate"/>
          </w:r>
          <w:r/>
        </w:p>
        <w:p>
          <w:pPr>
            <w:pStyle w:val="930"/>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 </w:instrText>
          </w:r>
          <w:r>
            <w:rPr>
              <w:color w:val="000000" w:themeColor="text1"/>
              <w:highlight w:val="none"/>
              <w14:textFill>
                <w14:solidFill>
                  <w14:schemeClr w14:val="tx1"/>
                </w14:solidFill>
              </w14:textFill>
            </w:rPr>
            <w:fldChar w:fldCharType="separate"/>
          </w:r>
          <w:r>
            <w:rPr>
              <w:rFonts w:hint="eastAsia"/>
              <w:color w:val="000000" w:themeColor="text1"/>
              <w:sz w:val="32"/>
              <w:szCs w:val="40"/>
              <w:highlight w:val="none"/>
              <w14:textFill>
                <w14:solidFill>
                  <w14:schemeClr w14:val="tx1"/>
                </w14:solidFill>
              </w14:textFill>
            </w:rPr>
            <w:t xml:space="preserve">第一章 公告</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_Toc29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1</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930"/>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"_Toc20913" </w:instrText>
          </w:r>
          <w:r>
            <w:rPr>
              <w:color w:val="000000" w:themeColor="text1"/>
              <w:highlight w:val="none"/>
              <w14:textFill>
                <w14:solidFill>
                  <w14:schemeClr w14:val="tx1"/>
                </w14:solidFill>
              </w14:textFill>
            </w:rPr>
            <w:fldChar w:fldCharType="separate"/>
          </w:r>
          <w:r>
            <w:rPr>
              <w:rFonts w:hint="eastAsia"/>
              <w:color w:val="000000" w:themeColor="text1"/>
              <w:sz w:val="32"/>
              <w:szCs w:val="32"/>
              <w:highlight w:val="none"/>
              <w14:textFill>
                <w14:solidFill>
                  <w14:schemeClr w14:val="tx1"/>
                </w14:solidFill>
              </w14:textFill>
            </w:rPr>
            <w:t xml:space="preserve">第二章 磋商须知</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_Toc20913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5</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930"/>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"_Toc21358" </w:instrText>
          </w:r>
          <w:r>
            <w:rPr>
              <w:color w:val="000000" w:themeColor="text1"/>
              <w:highlight w:val="none"/>
              <w14:textFill>
                <w14:solidFill>
                  <w14:schemeClr w14:val="tx1"/>
                </w14:solidFill>
              </w14:textFill>
            </w:rPr>
            <w:fldChar w:fldCharType="separate"/>
          </w:r>
          <w:r>
            <w:rPr>
              <w:rFonts w:hint="eastAsia"/>
              <w:color w:val="000000" w:themeColor="text1"/>
              <w:sz w:val="32"/>
              <w:szCs w:val="32"/>
              <w:highlight w:val="none"/>
              <w14:textFill>
                <w14:solidFill>
                  <w14:schemeClr w14:val="tx1"/>
                </w14:solidFill>
              </w14:textFill>
            </w:rPr>
            <w:t xml:space="preserve">第三章 合同条款及格式</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_Toc21358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16</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930"/>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"_Toc1188" </w:instrText>
          </w:r>
          <w:r>
            <w:rPr>
              <w:color w:val="000000" w:themeColor="text1"/>
              <w:highlight w:val="none"/>
              <w14:textFill>
                <w14:solidFill>
                  <w14:schemeClr w14:val="tx1"/>
                </w14:solidFill>
              </w14:textFill>
            </w:rPr>
            <w:fldChar w:fldCharType="separate"/>
          </w:r>
          <w:r>
            <w:rPr>
              <w:rFonts w:hint="eastAsia"/>
              <w:color w:val="000000" w:themeColor="text1"/>
              <w:sz w:val="32"/>
              <w:szCs w:val="32"/>
              <w:highlight w:val="none"/>
              <w14:textFill>
                <w14:solidFill>
                  <w14:schemeClr w14:val="tx1"/>
                </w14:solidFill>
              </w14:textFill>
            </w:rPr>
            <w:t xml:space="preserve">第四章 项目需求</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_Toc1188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48</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930"/>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"_Toc11897" </w:instrText>
          </w:r>
          <w:r>
            <w:rPr>
              <w:color w:val="000000" w:themeColor="text1"/>
              <w:highlight w:val="none"/>
              <w14:textFill>
                <w14:solidFill>
                  <w14:schemeClr w14:val="tx1"/>
                </w14:solidFill>
              </w14:textFill>
            </w:rPr>
            <w:fldChar w:fldCharType="separate"/>
          </w:r>
          <w:r>
            <w:rPr>
              <w:rFonts w:hint="eastAsia"/>
              <w:color w:val="000000" w:themeColor="text1"/>
              <w:sz w:val="32"/>
              <w:szCs w:val="32"/>
              <w:highlight w:val="none"/>
              <w14:textFill>
                <w14:solidFill>
                  <w14:schemeClr w14:val="tx1"/>
                </w14:solidFill>
              </w14:textFill>
            </w:rPr>
            <w:t xml:space="preserve">第五章 评审方法及评审标准</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_Toc11897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50</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930"/>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"_Toc8140" </w:instrText>
          </w:r>
          <w:r>
            <w:rPr>
              <w:color w:val="000000" w:themeColor="text1"/>
              <w:highlight w:val="none"/>
              <w14:textFill>
                <w14:solidFill>
                  <w14:schemeClr w14:val="tx1"/>
                </w14:solidFill>
              </w14:textFill>
            </w:rPr>
            <w:fldChar w:fldCharType="separate"/>
          </w:r>
          <w:r>
            <w:rPr>
              <w:rFonts w:hint="eastAsia"/>
              <w:color w:val="000000" w:themeColor="text1"/>
              <w:sz w:val="32"/>
              <w:szCs w:val="32"/>
              <w:highlight w:val="none"/>
              <w14:textFill>
                <w14:solidFill>
                  <w14:schemeClr w14:val="tx1"/>
                </w14:solidFill>
              </w14:textFill>
            </w:rPr>
            <w:t xml:space="preserve">第六章 竞争性磋商响应文件格式</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_Toc8140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54</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930"/>
            <w:tabs>
              <w:tab w:val="right" w:pos="83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0"/>
            <w:spacing w:before="4" w:line="360" w:lineRule="auto"/>
            <w:tabs>
              <w:tab w:val="right" w:pos="83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sdtContent>
    </w:sdt>
    <w:p>
      <w:pP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96"/>
        <w:spacing w:line="360" w:lineRule="auto"/>
        <w:rPr>
          <w:rFonts w:ascii="宋体" w:hAnsi="宋体"/>
          <w:color w:val="000000" w:themeColor="text1"/>
          <w:szCs w:val="36"/>
          <w:highlight w:val="none"/>
          <w14:textFill>
            <w14:solidFill>
              <w14:schemeClr w14:val="tx1"/>
            </w14:solidFill>
          </w14:textFill>
        </w:rPr>
        <w:sectPr>
          <w:footerReference w:type="default" r:id="rId16"/>
          <w:footerReference w:type="first" r:id="rId17"/>
          <w:footnotePr/>
          <w:endnotePr/>
          <w:type w:val="nextPage"/>
          <w:pgSz w:w="11906" w:h="16838" w:orient="portrait"/>
          <w:pgMar w:top="1440" w:right="1803" w:bottom="1440" w:left="1803" w:header="851" w:footer="850" w:gutter="0"/>
          <w:pgNumType w:start="1"/>
          <w:cols w:num="1" w:sep="0" w:space="720" w:equalWidth="1"/>
          <w:docGrid w:linePitch="360"/>
        </w:sectPr>
      </w:pPr>
      <w:r/>
      <w:bookmarkStart w:id="5" w:name="_Toc109304965"/>
      <w:r/>
      <w:r/>
    </w:p>
    <w:p>
      <w:pPr>
        <w:pStyle w:val="1096"/>
        <w:jc w:val="center"/>
        <w:spacing w:line="360" w:lineRule="auto"/>
        <w:rPr>
          <w:rFonts w:ascii="宋体" w:hAnsi="宋体"/>
          <w:color w:val="000000" w:themeColor="text1"/>
          <w:sz w:val="36"/>
          <w:szCs w:val="36"/>
          <w:highlight w:val="none"/>
          <w14:textFill>
            <w14:solidFill>
              <w14:schemeClr w14:val="tx1"/>
            </w14:solidFill>
          </w14:textFill>
        </w:rPr>
      </w:pPr>
      <w:r/>
      <w:bookmarkStart w:id="6" w:name="_Toc152"/>
      <w:r/>
      <w:bookmarkStart w:id="7" w:name="_Toc24299"/>
      <w:r/>
      <w:bookmarkStart w:id="8" w:name="_Toc29"/>
      <w:r>
        <w:rPr>
          <w:rFonts w:hint="eastAsia" w:ascii="宋体" w:hAnsi="宋体"/>
          <w:color w:val="000000" w:themeColor="text1"/>
          <w:szCs w:val="36"/>
          <w:highlight w:val="none"/>
          <w14:textFill>
            <w14:solidFill>
              <w14:schemeClr w14:val="tx1"/>
            </w14:solidFill>
          </w14:textFill>
        </w:rPr>
        <w:t xml:space="preserve">第一章 </w:t>
      </w:r>
      <w:bookmarkEnd w:id="0"/>
      <w:r/>
      <w:bookmarkEnd w:id="5"/>
      <w:r/>
      <w:bookmarkEnd w:id="6"/>
      <w:r/>
      <w:bookmarkEnd w:id="7"/>
      <w:r/>
      <w:bookmarkStart w:id="9" w:name="_Toc25416"/>
      <w:r/>
      <w:bookmarkStart w:id="10" w:name="_Toc23352"/>
      <w:r>
        <w:rPr>
          <w:rFonts w:hint="eastAsia" w:ascii="宋体" w:hAnsi="宋体"/>
          <w:color w:val="000000" w:themeColor="text1"/>
          <w:szCs w:val="36"/>
          <w:highlight w:val="none"/>
          <w14:textFill>
            <w14:solidFill>
              <w14:schemeClr w14:val="tx1"/>
            </w14:solidFill>
          </w14:textFill>
        </w:rPr>
        <w:t xml:space="preserve">丁泰河沿线环境应急三级防控体系建设项目（市政雨水管网及提升泵）竞争性磋商采购公告</w:t>
      </w:r>
      <w:bookmarkEnd w:id="8"/>
      <w:r/>
      <w:r/>
    </w:p>
    <w:p>
      <w:pPr>
        <w:ind w:firstLine="48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扬州市江都区丁沟镇人民政府的委托，苏合邦筑工程咨询集团股份有限公司关于丁泰河沿线环境应急三级防控体系建设项目（市政雨水管网及提升泵）实施政府采购，本次采购采用竞争性磋商方式，欢迎符合条件的供应商参加磋商。</w:t>
      </w:r>
      <w:r/>
    </w:p>
    <w:p>
      <w:pPr>
        <w:ind w:firstLine="422"/>
        <w:spacing w:line="360" w:lineRule="auto"/>
        <w:rPr>
          <w:rFonts w:ascii="宋体" w:hAnsi="宋体" w:cs="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themeColor="text1"/>
          <w:szCs w:val="21"/>
          <w:highlight w:val="none"/>
          <w14:textFill>
            <w14:solidFill>
              <w14:schemeClr w14:val="tx1"/>
            </w14:solidFill>
          </w14:textFill>
        </w:rPr>
        <w:t xml:space="preserve">项目概况：</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highlight w:val="none"/>
          <w:u w:val="single"/>
          <w14:textFill>
            <w14:solidFill>
              <w14:schemeClr w14:val="tx1"/>
            </w14:solidFill>
          </w14:textFill>
        </w:rPr>
        <w:t xml:space="preserve">丁泰河沿线环境应急三级防控体系建设项目（市政雨水管网及提升泵）</w:t>
      </w:r>
      <w:r>
        <w:rPr>
          <w:rFonts w:hint="eastAsia" w:ascii="宋体" w:hAnsi="宋体" w:cs="宋体"/>
          <w:color w:val="000000" w:themeColor="text1"/>
          <w:szCs w:val="21"/>
          <w:highlight w:val="none"/>
          <w14:textFill>
            <w14:solidFill>
              <w14:schemeClr w14:val="tx1"/>
            </w14:solidFill>
          </w14:textFill>
        </w:rPr>
        <w:t xml:space="preserve">采购项目的潜在供应商</w:t>
      </w:r>
      <w:r>
        <w:rPr>
          <w:rFonts w:hint="eastAsia" w:ascii="宋体" w:hAnsi="宋体" w:cs="宋体"/>
          <w:color w:val="000000" w:themeColor="text1"/>
          <w:szCs w:val="21"/>
          <w:highlight w:val="none"/>
          <w:u w:val="single"/>
          <w14:textFill>
            <w14:solidFill>
              <w14:schemeClr w14:val="tx1"/>
            </w14:solidFill>
          </w14:textFill>
        </w:rPr>
        <w:t xml:space="preserve">可在“扬州市政府采购网”“江苏省政府采购网”、自行免费下载</w:t>
      </w:r>
      <w:r>
        <w:rPr>
          <w:rFonts w:hint="eastAsia" w:ascii="宋体" w:hAnsi="宋体" w:cs="宋体"/>
          <w:color w:val="000000" w:themeColor="text1"/>
          <w:szCs w:val="21"/>
          <w:highlight w:val="none"/>
          <w14:textFill>
            <w14:solidFill>
              <w14:schemeClr w14:val="tx1"/>
            </w14:solidFill>
          </w14:textFill>
        </w:rPr>
        <w:t xml:space="preserve">采购文件，并于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ascii="宋体" w:hAnsi="宋体" w:cs="宋体"/>
          <w:bCs/>
          <w:color w:val="000000" w:themeColor="text1"/>
          <w:szCs w:val="21"/>
          <w:highlight w:val="none"/>
          <w:u w:val="single"/>
          <w14:textFill>
            <w14:solidFill>
              <w14:schemeClr w14:val="tx1"/>
            </w14:solidFill>
          </w14:textFill>
        </w:rPr>
        <w:t xml:space="preserve">5月7日09点30分</w:t>
      </w:r>
      <w:r>
        <w:rPr>
          <w:rFonts w:hint="eastAsia" w:ascii="宋体" w:hAnsi="宋体" w:cs="宋体"/>
          <w:bCs/>
          <w:color w:val="000000" w:themeColor="text1"/>
          <w:szCs w:val="21"/>
          <w:highlight w:val="none"/>
          <w14:textFill>
            <w14:solidFill>
              <w14:schemeClr w14:val="tx1"/>
            </w14:solidFill>
          </w14:textFill>
        </w:rPr>
        <w:t xml:space="preserve">（北京时间）前提交响应文件</w:t>
      </w:r>
      <w:r>
        <w:rPr>
          <w:rFonts w:hint="eastAsia" w:ascii="宋体" w:hAnsi="宋体" w:cs="宋体"/>
          <w:color w:val="000000" w:themeColor="text1"/>
          <w:szCs w:val="21"/>
          <w:highlight w:val="none"/>
          <w14:textFill>
            <w14:solidFill>
              <w14:schemeClr w14:val="tx1"/>
            </w14:solidFill>
          </w14:textFill>
        </w:rPr>
        <w:t xml:space="preserve">。</w:t>
      </w:r>
      <w:r/>
    </w:p>
    <w:p>
      <w:pPr>
        <w:pStyle w:val="1097"/>
        <w:spacing w:before="0" w:after="0" w:line="360" w:lineRule="auto"/>
        <w:rPr>
          <w:rFonts w:ascii="宋体" w:hAnsi="宋体" w:cs="宋体"/>
          <w:bCs w:val="0"/>
          <w:color w:val="000000" w:themeColor="text1"/>
          <w:sz w:val="21"/>
          <w:szCs w:val="21"/>
          <w:highlight w:val="none"/>
          <w14:textFill>
            <w14:solidFill>
              <w14:schemeClr w14:val="tx1"/>
            </w14:solidFill>
          </w14:textFill>
        </w:rPr>
      </w:pPr>
      <w:r/>
      <w:bookmarkStart w:id="11" w:name="_Toc30774"/>
      <w:r/>
      <w:bookmarkStart w:id="12" w:name="_Toc109304963"/>
      <w:r>
        <w:rPr>
          <w:rFonts w:hint="eastAsia" w:ascii="宋体" w:hAnsi="宋体" w:cs="宋体"/>
          <w:bCs w:val="0"/>
          <w:color w:val="000000" w:themeColor="text1"/>
          <w:sz w:val="21"/>
          <w:szCs w:val="21"/>
          <w:highlight w:val="none"/>
          <w14:textFill>
            <w14:solidFill>
              <w14:schemeClr w14:val="tx1"/>
            </w14:solidFill>
          </w14:textFill>
        </w:rPr>
        <w:t xml:space="preserve">一、项目基本情况</w:t>
      </w:r>
      <w:bookmarkEnd w:id="11"/>
      <w:r/>
      <w:bookmarkEnd w:id="12"/>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1.项目编号：</w:t>
      </w:r>
      <w:r>
        <w:rPr>
          <w:rFonts w:hint="eastAsia" w:ascii="宋体" w:hAnsi="宋体" w:cs="宋体"/>
          <w:color w:val="000000" w:themeColor="text1"/>
          <w:szCs w:val="21"/>
          <w:highlight w:val="none"/>
          <w:lang w:eastAsia="zh-CN"/>
          <w14:textFill>
            <w14:solidFill>
              <w14:schemeClr w14:val="tx1"/>
            </w14:solidFill>
          </w14:textFill>
        </w:rPr>
        <w:t xml:space="preserve">JSZC-321012-SHBZ-C2026-0009</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2.项目名称：丁泰河沿线环境应急三级防控体系建设项目（市政雨水管网及提升泵）</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3.采购方式：竞争性磋商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4.最高限价：1821478.61元，报价高于最高限价的为无效标。</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5.采购需求：详见磋商文件第四章</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6.合同履行期限：</w:t>
      </w:r>
      <w:r>
        <w:rPr>
          <w:rFonts w:hint="eastAsia" w:ascii="宋体" w:hAnsi="宋体" w:cs="宋体"/>
          <w:color w:val="000000" w:themeColor="text1"/>
          <w:szCs w:val="21"/>
          <w:highlight w:val="none"/>
          <w:u w:val="single"/>
          <w14:textFill>
            <w14:solidFill>
              <w14:schemeClr w14:val="tx1"/>
            </w14:solidFill>
          </w14:textFill>
        </w:rPr>
        <w:t xml:space="preserve">30日历天</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7.本项目不接受联合体投标。</w:t>
      </w:r>
      <w:r/>
    </w:p>
    <w:p>
      <w:pPr>
        <w:pStyle w:val="1097"/>
        <w:spacing w:before="0" w:after="0" w:line="360" w:lineRule="auto"/>
        <w:rPr>
          <w:rFonts w:ascii="宋体" w:hAnsi="宋体" w:cs="宋体"/>
          <w:bCs w:val="0"/>
          <w:color w:val="000000" w:themeColor="text1"/>
          <w:sz w:val="21"/>
          <w:szCs w:val="21"/>
          <w:highlight w:val="none"/>
          <w14:textFill>
            <w14:solidFill>
              <w14:schemeClr w14:val="tx1"/>
            </w14:solidFill>
          </w14:textFill>
        </w:rPr>
      </w:pPr>
      <w:r/>
      <w:bookmarkStart w:id="13" w:name="_Toc32345"/>
      <w:r/>
      <w:bookmarkStart w:id="14" w:name="_Toc109304964"/>
      <w:r>
        <w:rPr>
          <w:rFonts w:hint="eastAsia" w:ascii="宋体" w:hAnsi="宋体" w:cs="宋体"/>
          <w:bCs w:val="0"/>
          <w:color w:val="000000" w:themeColor="text1"/>
          <w:sz w:val="21"/>
          <w:szCs w:val="21"/>
          <w:highlight w:val="none"/>
          <w14:textFill>
            <w14:solidFill>
              <w14:schemeClr w14:val="tx1"/>
            </w14:solidFill>
          </w14:textFill>
        </w:rPr>
        <w:t xml:space="preserve">二、申请人的资格要求：</w:t>
      </w:r>
      <w:bookmarkEnd w:id="13"/>
      <w:r/>
      <w:bookmarkEnd w:id="1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1.1法人或者其他组织的营业执照等证明文件，自然人的身份证明（身份证为正、反面）</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1.2 依法缴纳职工社会保障资金的证明材料</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1.3 依法纳税的缴款凭证</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1.4 具有良好的商业信誉和健全的财务会计制度</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1.5 具备履行合同所必需的设备和专业技术能力</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1.6 参加本次政府采购活动前3年内在经营活动中没有重大违法记录的书面声明</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1.8供应商信用承诺函</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2.落实政府采购政策需满足的资格要求：</w:t>
      </w:r>
      <w:r>
        <w:rPr>
          <w:rFonts w:hint="eastAsia" w:ascii="宋体" w:hAnsi="宋体" w:cs="宋体"/>
          <w:b/>
          <w:bCs/>
          <w:i/>
          <w:iCs/>
          <w:color w:val="000000" w:themeColor="text1"/>
          <w:szCs w:val="21"/>
          <w:highlight w:val="none"/>
          <w:u w:val="single"/>
          <w14:textFill>
            <w14:solidFill>
              <w14:schemeClr w14:val="tx1"/>
            </w14:solidFill>
          </w14:textFill>
        </w:rPr>
        <w:t xml:space="preserve">根据《政府采购促进中小企业发展管理办法》的规定，本项目专门面向中小企业采购，供应商投标时须提供《中小企业声明函》，《中小企业声明函》不符合要求或未提供的，投标文件无效。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3.本项目的特定资格要求：</w:t>
      </w:r>
      <w:r/>
    </w:p>
    <w:p>
      <w:pPr>
        <w:pStyle w:val="938"/>
        <w:ind w:firstLine="368"/>
        <w:spacing w:line="360" w:lineRule="auto"/>
        <w:shd w:val="clear" w:color="auto" w:fill="ffffff"/>
        <w:rPr>
          <w:i/>
          <w:iCs/>
          <w:color w:val="000000" w:themeColor="text1"/>
          <w:sz w:val="21"/>
          <w:szCs w:val="21"/>
          <w:highlight w:val="none"/>
          <w:u w:val="single"/>
          <w14:textFill>
            <w14:solidFill>
              <w14:schemeClr w14:val="tx1"/>
            </w14:solidFill>
          </w14:textFill>
        </w:rPr>
      </w:pPr>
      <w:r/>
      <w:bookmarkStart w:id="15" w:name="_Toc17557"/>
      <w:r>
        <w:rPr>
          <w:rFonts w:hint="eastAsia"/>
          <w:i/>
          <w:iCs/>
          <w:color w:val="000000" w:themeColor="text1"/>
          <w:sz w:val="21"/>
          <w:szCs w:val="21"/>
          <w:highlight w:val="none"/>
          <w:u w:val="single"/>
          <w14:textFill>
            <w14:solidFill>
              <w14:schemeClr w14:val="tx1"/>
            </w14:solidFill>
          </w14:textFill>
        </w:rPr>
        <w:t xml:space="preserve">（1）投标人具有市政公用工程施工总承包叁级（含）以上资质。(证书原件扫描上传)</w:t>
      </w:r>
      <w:r/>
    </w:p>
    <w:p>
      <w:pPr>
        <w:pStyle w:val="938"/>
        <w:ind w:firstLine="368"/>
        <w:spacing w:line="360" w:lineRule="auto"/>
        <w:shd w:val="clear" w:color="auto" w:fill="ffffff"/>
        <w:rPr>
          <w:b/>
          <w:bCs/>
          <w:i/>
          <w:iCs/>
          <w:color w:val="000000" w:themeColor="text1"/>
          <w:sz w:val="21"/>
          <w:szCs w:val="21"/>
          <w:highlight w:val="none"/>
          <w:u w:val="singl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（2）拟派项目负责人具有市政公用工程专业二级（含）以上注册建造师资格并具备有效的安全生产考核合格证书（B证），且项目负责人无在建工程。</w:t>
      </w:r>
      <w:r>
        <w:rPr>
          <w:rFonts w:hint="eastAsia"/>
          <w:b/>
          <w:bCs/>
          <w:i/>
          <w:iCs/>
          <w:color w:val="000000" w:themeColor="text1"/>
          <w:sz w:val="21"/>
          <w:szCs w:val="21"/>
          <w:highlight w:val="none"/>
          <w:u w:val="single"/>
          <w14:textFill>
            <w14:solidFill>
              <w14:schemeClr w14:val="tx1"/>
            </w14:solidFill>
          </w14:textFill>
        </w:rPr>
        <w:t xml:space="preserve">（证书、无在建承诺书原件扫描上传）</w:t>
      </w:r>
      <w:r/>
    </w:p>
    <w:p>
      <w:pPr>
        <w:pStyle w:val="938"/>
        <w:ind w:firstLine="368"/>
        <w:spacing w:line="360" w:lineRule="auto"/>
        <w:shd w:val="clear" w:color="auto" w:fill="ffffff"/>
        <w:rPr>
          <w:b/>
          <w:bCs/>
          <w:i/>
          <w:iCs/>
          <w:color w:val="000000" w:themeColor="text1"/>
          <w:sz w:val="21"/>
          <w:szCs w:val="21"/>
          <w:highlight w:val="none"/>
          <w:u w:val="singl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（3）投标人具备安全生产条件，并取得有效期内的安全生产许可证。</w:t>
      </w:r>
      <w:r>
        <w:rPr>
          <w:rFonts w:hint="eastAsia"/>
          <w:b/>
          <w:bCs/>
          <w:i/>
          <w:iCs/>
          <w:color w:val="000000" w:themeColor="text1"/>
          <w:sz w:val="21"/>
          <w:szCs w:val="21"/>
          <w:highlight w:val="none"/>
          <w:u w:val="single"/>
          <w14:textFill>
            <w14:solidFill>
              <w14:schemeClr w14:val="tx1"/>
            </w14:solidFill>
          </w14:textFill>
        </w:rPr>
        <w:t xml:space="preserve">(证书原件扫描上传)</w:t>
      </w:r>
      <w:r/>
    </w:p>
    <w:p>
      <w:pPr>
        <w:pStyle w:val="938"/>
        <w:ind w:firstLine="368"/>
        <w:spacing w:line="360" w:lineRule="auto"/>
        <w:shd w:val="clear" w:color="auto" w:fill="ffffff"/>
        <w:rPr>
          <w:b/>
          <w:bCs/>
          <w:i/>
          <w:iCs/>
          <w:color w:val="000000" w:themeColor="text1"/>
          <w:sz w:val="21"/>
          <w:szCs w:val="21"/>
          <w:highlight w:val="none"/>
          <w:u w:val="singl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（4）提供由社保部门出具的投标人为授权委托人和拟派项目经理缴纳的近三个月任意一个月养老保险费用的证明材料</w:t>
      </w:r>
      <w:r>
        <w:rPr>
          <w:rFonts w:hint="eastAsia"/>
          <w:b/>
          <w:bCs/>
          <w:i/>
          <w:iCs/>
          <w:color w:val="000000" w:themeColor="text1"/>
          <w:sz w:val="21"/>
          <w:szCs w:val="21"/>
          <w:highlight w:val="none"/>
          <w:u w:val="single"/>
          <w14:textFill>
            <w14:solidFill>
              <w14:schemeClr w14:val="tx1"/>
            </w14:solidFill>
          </w14:textFill>
        </w:rPr>
        <w:t xml:space="preserve">（已取消书面证明采用网上自助查询方式的，如当地社保管理部门明确的最大查询期与招标公告规定的月份不一致时，须提供社保管理部门的文件规定）(原件扫描上传)</w:t>
      </w:r>
      <w:r/>
    </w:p>
    <w:p>
      <w:pPr>
        <w:pStyle w:val="1097"/>
        <w:spacing w:before="0" w:after="0" w:line="360" w:lineRule="auto"/>
        <w:rPr>
          <w:rFonts w:ascii="宋体" w:hAnsi="宋体" w:cs="宋体"/>
          <w:bCs w:val="0"/>
          <w:color w:val="000000" w:themeColor="text1"/>
          <w:sz w:val="21"/>
          <w:szCs w:val="21"/>
          <w:highlight w:val="none"/>
          <w14:textFill>
            <w14:solidFill>
              <w14:schemeClr w14:val="tx1"/>
            </w14:solidFill>
          </w14:textFill>
        </w:rPr>
      </w:pPr>
      <w:r>
        <w:rPr>
          <w:rFonts w:hint="eastAsia" w:ascii="宋体" w:hAnsi="宋体" w:cs="宋体"/>
          <w:bCs w:val="0"/>
          <w:color w:val="000000" w:themeColor="text1"/>
          <w:sz w:val="21"/>
          <w:szCs w:val="21"/>
          <w:highlight w:val="none"/>
          <w14:textFill>
            <w14:solidFill>
              <w14:schemeClr w14:val="tx1"/>
            </w14:solidFill>
          </w14:textFill>
        </w:rPr>
        <w:t xml:space="preserve">三、获取采购文件</w:t>
      </w:r>
      <w:bookmarkEnd w:id="15"/>
      <w:r/>
      <w:r/>
    </w:p>
    <w:p>
      <w:pPr>
        <w:ind w:firstLine="54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w:t>
      </w:r>
      <w:r>
        <w:rPr>
          <w:rFonts w:hint="eastAsia" w:ascii="宋体" w:hAnsi="宋体" w:cs="宋体"/>
          <w:color w:val="000000" w:themeColor="text1"/>
          <w:highlight w:val="none"/>
          <w14:textFill>
            <w14:solidFill>
              <w14:schemeClr w14:val="tx1"/>
            </w14:solidFill>
          </w14:textFill>
        </w:rPr>
        <w:t xml:space="preserve">自磋商公告发布之日起5个工作日。5个工作日后仍可下载采购文件，但不作为供应商权益受到损害的证明材料和依据</w:t>
      </w:r>
      <w:r/>
    </w:p>
    <w:p>
      <w:pPr>
        <w:ind w:firstLine="540"/>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2.获取方式：</w:t>
      </w:r>
      <w:r>
        <w:rPr>
          <w:rFonts w:hint="eastAsia" w:ascii="宋体" w:hAnsi="宋体"/>
          <w:b/>
          <w:bCs/>
          <w:color w:val="000000" w:themeColor="text1"/>
          <w:szCs w:val="21"/>
          <w:highlight w:val="none"/>
          <w14:textFill>
            <w14:solidFill>
              <w14:schemeClr w14:val="tx1"/>
            </w14:solidFill>
          </w14:textFill>
        </w:rPr>
        <w:t xml:space="preserve">本项目采用网上注册登记方式。</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3.潜在供应商访问政府采购管理交易系统（苏采云）的网络地址和方法：</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（3）“CA数字证书”的办理材料以及供应商操作手册详见：</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http://zfcg.yangzhou.gov.cn/zfcg/xzzx/202309/4d7de1f7865f4a2894fc22bc452f94d8.shtml。</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（4）潜在供应商访问“苏采云”系统的网络地址和方法：“苏采云”系统的网址：http://jszfcg.jsczt.cn/。</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54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（7）苏采云系统使用谷歌浏览器参与不见面开标。</w:t>
      </w:r>
      <w:r/>
    </w:p>
    <w:p>
      <w:pPr>
        <w:pStyle w:val="1097"/>
        <w:spacing w:before="0" w:after="0" w:line="360" w:lineRule="auto"/>
        <w:rPr>
          <w:rFonts w:ascii="宋体" w:hAnsi="宋体" w:cs="宋体"/>
          <w:bCs w:val="0"/>
          <w:color w:val="000000" w:themeColor="text1"/>
          <w:sz w:val="21"/>
          <w:szCs w:val="21"/>
          <w:highlight w:val="none"/>
          <w14:textFill>
            <w14:solidFill>
              <w14:schemeClr w14:val="tx1"/>
            </w14:solidFill>
          </w14:textFill>
        </w:rPr>
      </w:pPr>
      <w:r/>
      <w:bookmarkStart w:id="16" w:name="_Toc109304966"/>
      <w:r/>
      <w:bookmarkStart w:id="17" w:name="_Toc15334"/>
      <w:r>
        <w:rPr>
          <w:rFonts w:hint="eastAsia" w:ascii="宋体" w:hAnsi="宋体" w:cs="宋体"/>
          <w:bCs w:val="0"/>
          <w:color w:val="000000" w:themeColor="text1"/>
          <w:sz w:val="21"/>
          <w:szCs w:val="21"/>
          <w:highlight w:val="none"/>
          <w14:textFill>
            <w14:solidFill>
              <w14:schemeClr w14:val="tx1"/>
            </w14:solidFill>
          </w14:textFill>
        </w:rPr>
        <w:t xml:space="preserve">四、响应文件提交</w:t>
      </w:r>
      <w:bookmarkEnd w:id="16"/>
      <w:r/>
      <w:bookmarkEnd w:id="17"/>
      <w:r/>
      <w:r/>
    </w:p>
    <w:p>
      <w:pPr>
        <w:ind w:firstLine="4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1.截止时间：</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ascii="宋体" w:hAnsi="宋体" w:cs="宋体"/>
          <w:bCs/>
          <w:color w:val="000000" w:themeColor="text1"/>
          <w:szCs w:val="21"/>
          <w:highlight w:val="none"/>
          <w:u w:val="single"/>
          <w14:textFill>
            <w14:solidFill>
              <w14:schemeClr w14:val="tx1"/>
            </w14:solidFill>
          </w14:textFill>
        </w:rPr>
        <w:t xml:space="preserve">5月7日09点30分</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422"/>
        <w:spacing w:line="360" w:lineRule="auto"/>
        <w:rPr>
          <w:rFonts w:ascii="宋体" w:hAnsi="宋体" w:cs="宋体"/>
          <w:bCs/>
          <w:color w:val="000000" w:themeColor="text1"/>
          <w:szCs w:val="21"/>
          <w:highlight w:val="none"/>
          <w:u w:val="single"/>
          <w14:textFill>
            <w14:solidFill>
              <w14:schemeClr w14:val="tx1"/>
            </w14:solidFill>
          </w14:textFill>
        </w:rPr>
      </w:pPr>
      <w:r/>
      <w:bookmarkStart w:id="18" w:name="_Toc109304967"/>
      <w:r>
        <w:rPr>
          <w:rFonts w:hint="eastAsia" w:ascii="宋体" w:hAnsi="宋体" w:cs="宋体"/>
          <w:b/>
          <w:bCs/>
          <w:color w:val="000000" w:themeColor="text1"/>
          <w:szCs w:val="21"/>
          <w:highlight w:val="none"/>
          <w14:textFill>
            <w14:solidFill>
              <w14:schemeClr w14:val="tx1"/>
            </w14:solidFill>
          </w14:textFill>
        </w:rPr>
        <w:t xml:space="preserve">2.投标地点：“苏采云”系统（网址： http://jszfcg.jsczt.cn/）“报名详情”</w:t>
      </w:r>
      <w:r/>
    </w:p>
    <w:p>
      <w:pPr>
        <w:pStyle w:val="1097"/>
        <w:spacing w:before="0" w:after="0" w:line="360" w:lineRule="auto"/>
        <w:rPr>
          <w:rFonts w:ascii="宋体" w:hAnsi="宋体" w:cs="宋体"/>
          <w:bCs w:val="0"/>
          <w:color w:val="000000" w:themeColor="text1"/>
          <w:sz w:val="21"/>
          <w:szCs w:val="21"/>
          <w:highlight w:val="none"/>
          <w14:textFill>
            <w14:solidFill>
              <w14:schemeClr w14:val="tx1"/>
            </w14:solidFill>
          </w14:textFill>
        </w:rPr>
      </w:pPr>
      <w:r/>
      <w:bookmarkStart w:id="19" w:name="_Toc15383"/>
      <w:r>
        <w:rPr>
          <w:rFonts w:hint="eastAsia" w:ascii="宋体" w:hAnsi="宋体" w:cs="宋体"/>
          <w:bCs w:val="0"/>
          <w:color w:val="000000" w:themeColor="text1"/>
          <w:sz w:val="21"/>
          <w:szCs w:val="21"/>
          <w:highlight w:val="none"/>
          <w14:textFill>
            <w14:solidFill>
              <w14:schemeClr w14:val="tx1"/>
            </w14:solidFill>
          </w14:textFill>
        </w:rPr>
        <w:t xml:space="preserve">五、开启</w:t>
      </w:r>
      <w:bookmarkEnd w:id="18"/>
      <w:r/>
      <w:bookmarkEnd w:id="19"/>
      <w:r/>
      <w:r/>
    </w:p>
    <w:p>
      <w:pPr>
        <w:pStyle w:val="1098"/>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ascii="宋体" w:hAnsi="宋体" w:cs="宋体"/>
          <w:bCs/>
          <w:color w:val="000000" w:themeColor="text1"/>
          <w:szCs w:val="21"/>
          <w:highlight w:val="none"/>
          <w:u w:val="single"/>
          <w14:textFill>
            <w14:solidFill>
              <w14:schemeClr w14:val="tx1"/>
            </w14:solidFill>
          </w14:textFill>
        </w:rPr>
        <w:t xml:space="preserve">5月7日09点30分</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422"/>
        <w:spacing w:line="360" w:lineRule="auto"/>
        <w:rPr>
          <w:rFonts w:ascii="宋体" w:hAnsi="宋体" w:cs="宋体"/>
          <w:b/>
          <w:color w:val="000000" w:themeColor="text1"/>
          <w:szCs w:val="21"/>
          <w:highlight w:val="none"/>
          <w14:textFill>
            <w14:solidFill>
              <w14:schemeClr w14:val="tx1"/>
            </w14:solidFill>
          </w14:textFill>
        </w:rPr>
      </w:pPr>
      <w:r/>
      <w:bookmarkStart w:id="20" w:name="_Toc109304968"/>
      <w:r>
        <w:rPr>
          <w:rFonts w:hint="eastAsia" w:ascii="宋体" w:hAnsi="宋体" w:cs="宋体"/>
          <w:b/>
          <w:color w:val="000000" w:themeColor="text1"/>
          <w:szCs w:val="21"/>
          <w:highlight w:val="none"/>
          <w14:textFill>
            <w14:solidFill>
              <w14:schemeClr w14:val="tx1"/>
            </w14:solidFill>
          </w14:textFill>
        </w:rPr>
        <w:t xml:space="preserve">2.开标地点：“苏采云”系统（网址： http://jszfcg.jsczt.cn/）“开标大厅”</w:t>
      </w:r>
      <w:r/>
    </w:p>
    <w:p>
      <w:pPr>
        <w:pStyle w:val="1097"/>
        <w:spacing w:before="0" w:after="0" w:line="360" w:lineRule="auto"/>
        <w:rPr>
          <w:rFonts w:ascii="宋体" w:hAnsi="宋体" w:cs="宋体"/>
          <w:bCs w:val="0"/>
          <w:color w:val="000000" w:themeColor="text1"/>
          <w:sz w:val="21"/>
          <w:szCs w:val="21"/>
          <w:highlight w:val="none"/>
          <w14:textFill>
            <w14:solidFill>
              <w14:schemeClr w14:val="tx1"/>
            </w14:solidFill>
          </w14:textFill>
        </w:rPr>
      </w:pPr>
      <w:r/>
      <w:bookmarkStart w:id="21" w:name="_Toc31874"/>
      <w:r>
        <w:rPr>
          <w:rFonts w:hint="eastAsia" w:ascii="宋体" w:hAnsi="宋体" w:cs="宋体"/>
          <w:bCs w:val="0"/>
          <w:color w:val="000000" w:themeColor="text1"/>
          <w:sz w:val="21"/>
          <w:szCs w:val="21"/>
          <w:highlight w:val="none"/>
          <w14:textFill>
            <w14:solidFill>
              <w14:schemeClr w14:val="tx1"/>
            </w14:solidFill>
          </w14:textFill>
        </w:rPr>
        <w:t xml:space="preserve">六、公告期限</w:t>
      </w:r>
      <w:bookmarkEnd w:id="20"/>
      <w:r/>
      <w:bookmarkEnd w:id="21"/>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自本公告发布之日起5个工作日。</w:t>
      </w:r>
      <w:r/>
    </w:p>
    <w:p>
      <w:pPr>
        <w:pStyle w:val="1097"/>
        <w:spacing w:before="0" w:after="0" w:line="360" w:lineRule="auto"/>
        <w:rPr>
          <w:rFonts w:ascii="宋体" w:hAnsi="宋体" w:cs="宋体"/>
          <w:color w:val="000000" w:themeColor="text1"/>
          <w:sz w:val="21"/>
          <w:szCs w:val="21"/>
          <w:highlight w:val="none"/>
          <w14:textFill>
            <w14:solidFill>
              <w14:schemeClr w14:val="tx1"/>
            </w14:solidFill>
          </w14:textFill>
        </w:rPr>
      </w:pPr>
      <w:r/>
      <w:bookmarkStart w:id="22" w:name="_Toc109304969"/>
      <w:r/>
      <w:bookmarkStart w:id="23" w:name="_Toc24056"/>
      <w:r>
        <w:rPr>
          <w:rFonts w:hint="eastAsia" w:ascii="宋体" w:hAnsi="宋体" w:cs="宋体"/>
          <w:color w:val="000000" w:themeColor="text1"/>
          <w:sz w:val="21"/>
          <w:szCs w:val="21"/>
          <w:highlight w:val="none"/>
          <w14:textFill>
            <w14:solidFill>
              <w14:schemeClr w14:val="tx1"/>
            </w14:solidFill>
          </w14:textFill>
        </w:rPr>
        <w:t xml:space="preserve">七、其他补充事宜</w:t>
      </w:r>
      <w:bookmarkEnd w:id="22"/>
      <w:r/>
      <w:bookmarkEnd w:id="2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w:t>
      </w:r>
      <w:r/>
    </w:p>
    <w:p>
      <w:pPr>
        <w:pStyle w:val="1097"/>
        <w:spacing w:before="0" w:after="0" w:line="360" w:lineRule="auto"/>
        <w:rPr>
          <w:rFonts w:ascii="宋体" w:hAnsi="宋体" w:cs="宋体"/>
          <w:bCs w:val="0"/>
          <w:color w:val="000000" w:themeColor="text1"/>
          <w:sz w:val="21"/>
          <w:szCs w:val="21"/>
          <w:highlight w:val="none"/>
          <w14:textFill>
            <w14:solidFill>
              <w14:schemeClr w14:val="tx1"/>
            </w14:solidFill>
          </w14:textFill>
        </w:rPr>
      </w:pPr>
      <w:r/>
      <w:bookmarkStart w:id="24" w:name="_Toc24673"/>
      <w:r/>
      <w:bookmarkStart w:id="25" w:name="_Toc109304970"/>
      <w:r>
        <w:rPr>
          <w:rFonts w:hint="eastAsia" w:ascii="宋体" w:hAnsi="宋体" w:cs="宋体"/>
          <w:bCs w:val="0"/>
          <w:color w:val="000000" w:themeColor="text1"/>
          <w:sz w:val="21"/>
          <w:szCs w:val="21"/>
          <w:highlight w:val="none"/>
          <w14:textFill>
            <w14:solidFill>
              <w14:schemeClr w14:val="tx1"/>
            </w14:solidFill>
          </w14:textFill>
        </w:rPr>
        <w:t xml:space="preserve">八、本次竞争性磋商联系方式</w:t>
      </w:r>
      <w:bookmarkEnd w:id="24"/>
      <w:r/>
      <w:bookmarkEnd w:id="25"/>
      <w:r/>
      <w:r/>
    </w:p>
    <w:p>
      <w:pPr>
        <w:pStyle w:val="1099"/>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1.采购人信息</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rPr>
          <w:rFonts w:hint="eastAsia" w:ascii="宋体" w:hAnsi="宋体" w:cs="宋体"/>
          <w:color w:val="000000" w:themeColor="text1"/>
          <w:szCs w:val="21"/>
          <w:highlight w:val="none"/>
          <w:u w:val="single"/>
          <w14:textFill>
            <w14:solidFill>
              <w14:schemeClr w14:val="tx1"/>
            </w14:solidFill>
          </w14:textFill>
        </w:rPr>
        <w:t xml:space="preserve">扬州市江都区丁沟镇人民政府</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ascii="宋体" w:hAnsi="宋体" w:cs="宋体"/>
          <w:color w:val="000000" w:themeColor="text1"/>
          <w:szCs w:val="21"/>
          <w:highlight w:val="none"/>
          <w:u w:val="single"/>
          <w14:textFill>
            <w14:solidFill>
              <w14:schemeClr w14:val="tx1"/>
            </w14:solidFill>
          </w14:textFill>
        </w:rPr>
        <w:t xml:space="preserve">扬州市江都区丁沟镇振兴南路89号</w:t>
      </w:r>
      <w:r/>
    </w:p>
    <w:p>
      <w:pPr>
        <w:ind w:firstLine="420"/>
        <w:jc w:val="left"/>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u w:val="single"/>
          <w14:textFill>
            <w14:solidFill>
              <w14:schemeClr w14:val="tx1"/>
            </w14:solidFill>
          </w14:textFill>
        </w:rPr>
        <w:t xml:space="preserve">李先生</w:t>
      </w:r>
      <w:r/>
    </w:p>
    <w:p>
      <w:pPr>
        <w:pStyle w:val="1092"/>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w:t>
      </w:r>
      <w:r>
        <w:rPr>
          <w:rFonts w:hint="eastAsia" w:ascii="宋体" w:hAnsi="宋体" w:cs="宋体"/>
          <w:color w:val="000000" w:themeColor="text1"/>
          <w:szCs w:val="21"/>
          <w:highlight w:val="none"/>
          <w:u w:val="single"/>
          <w14:textFill>
            <w14:solidFill>
              <w14:schemeClr w14:val="tx1"/>
            </w14:solidFill>
          </w14:textFill>
        </w:rPr>
        <w:t xml:space="preserve">18852597525</w:t>
      </w:r>
      <w:r/>
    </w:p>
    <w:p>
      <w:pPr>
        <w:pStyle w:val="1099"/>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2.采购代理机构信息</w:t>
      </w:r>
      <w:r/>
    </w:p>
    <w:p>
      <w:pPr>
        <w:pStyle w:val="1099"/>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名    称：苏合邦筑工程咨询集团股份有限公司</w:t>
      </w:r>
      <w:r/>
    </w:p>
    <w:p>
      <w:pPr>
        <w:pStyle w:val="1099"/>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地　　址：扬州市江都区浦江路439号园林大厦5楼</w:t>
      </w:r>
      <w:r/>
    </w:p>
    <w:p>
      <w:pPr>
        <w:pStyle w:val="1099"/>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联 系 人：吴宇</w:t>
      </w:r>
      <w:r/>
    </w:p>
    <w:p>
      <w:pPr>
        <w:pStyle w:val="1099"/>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联系方式：0514-80335676</w:t>
      </w:r>
      <w:r/>
    </w:p>
    <w:p>
      <w:pPr>
        <w:pStyle w:val="1099"/>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邮    箱：531356327@qq.com</w:t>
      </w:r>
      <w:r/>
    </w:p>
    <w:p>
      <w:pPr>
        <w:pStyle w:val="1099"/>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 xml:space="preserve">九、为提升政</w:t>
      </w:r>
      <w:r>
        <w:rPr>
          <w:rFonts w:hint="eastAsia" w:hAnsi="宋体" w:cs="宋体"/>
          <w:b/>
          <w:color w:val="000000" w:themeColor="text1"/>
          <w:sz w:val="21"/>
          <w:szCs w:val="21"/>
          <w:highlight w:val="none"/>
          <w14:textFill>
            <w14:solidFill>
              <w14:schemeClr w14:val="tx1"/>
            </w14:solidFill>
          </w14:textFill>
        </w:rPr>
        <w:t xml:space="preserve">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97"/>
        <w:spacing w:before="0" w:after="0" w:line="360" w:lineRule="auto"/>
        <w:rPr>
          <w:rFonts w:ascii="宋体" w:hAnsi="宋体" w:cs="宋体"/>
          <w:color w:val="000000" w:themeColor="text1"/>
          <w:sz w:val="21"/>
          <w:szCs w:val="21"/>
          <w:highlight w:val="none"/>
          <w14:textFill>
            <w14:solidFill>
              <w14:schemeClr w14:val="tx1"/>
            </w14:solidFill>
          </w14:textFill>
        </w:rPr>
      </w:pPr>
      <w:r/>
      <w:bookmarkStart w:id="26" w:name="_Toc30711"/>
      <w:r/>
      <w:bookmarkStart w:id="27" w:name="_Toc109304971"/>
      <w:r>
        <w:rPr>
          <w:rFonts w:hint="eastAsia" w:ascii="宋体" w:hAnsi="宋体" w:cs="宋体"/>
          <w:color w:val="000000" w:themeColor="text1"/>
          <w:sz w:val="21"/>
          <w:szCs w:val="21"/>
          <w:highlight w:val="none"/>
          <w14:textFill>
            <w14:solidFill>
              <w14:schemeClr w14:val="tx1"/>
            </w14:solidFill>
          </w14:textFill>
        </w:rPr>
        <w:t xml:space="preserve">十、其他</w:t>
      </w:r>
      <w:bookmarkEnd w:id="26"/>
      <w:r/>
      <w:bookmarkEnd w:id="27"/>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4.供应商对于投标产品的包装应按照“财办库〔2020〕123号《关于印发《商品包装政府采购需求标准（试行）》、《快递包装政府采购需求标准（试行）》的通知》”执行。</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5.落实好政府采购履约资金扶持政策。中标/成交供应商可凭政府采购合同办理融资贷款，详见江苏政府采购网“政采贷”专栏。</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6.严格执行政府采购关于支持</w:t>
      </w:r>
      <w:r>
        <w:rPr>
          <w:rFonts w:hint="eastAsia" w:ascii="宋体" w:hAnsi="宋体"/>
          <w:b/>
          <w:bCs/>
          <w:color w:val="000000" w:themeColor="text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7.潜在供应商对采购文件项目需求部分的询问、质疑请向采购人提出，由采购人负责答复。</w:t>
      </w:r>
      <w:r/>
    </w:p>
    <w:p>
      <w:pPr>
        <w:ind w:firstLine="422"/>
        <w:jc w:val="left"/>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8.本次采购不收取保证金。</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9.有关本次采购的事项若存在变动或修改，敬请及时关注“扬州市政府采购网”、”江苏省政府采购网”发布的信息。</w:t>
      </w:r>
      <w:r/>
    </w:p>
    <w:p>
      <w:pPr>
        <w:ind w:firstLine="422"/>
        <w:spacing w:line="360" w:lineRule="auto"/>
        <w:rPr>
          <w:rFonts w:ascii="宋体" w:hAnsi="宋体" w:cs="宋体"/>
          <w:b/>
          <w:i/>
          <w:iCs/>
          <w:color w:val="000000" w:themeColor="text1"/>
          <w:highlight w:val="none"/>
          <w:u w:val="singl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10.本项目采购文件中所有斜体下划线部分为实质性条款，如不满足，则为无效响应。</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6"/>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96"/>
        <w:jc w:val="center"/>
        <w:spacing w:line="360" w:lineRule="auto"/>
        <w:rPr>
          <w:rFonts w:ascii="宋体" w:hAnsi="宋体"/>
          <w:color w:val="000000" w:themeColor="text1"/>
          <w:highlight w:val="none"/>
          <w14:textFill>
            <w14:solidFill>
              <w14:schemeClr w14:val="tx1"/>
            </w14:solidFill>
          </w14:textFill>
        </w:rPr>
      </w:pPr>
      <w:r/>
      <w:bookmarkStart w:id="28" w:name="_Toc20913"/>
      <w:r>
        <w:rPr>
          <w:rFonts w:hint="eastAsia" w:ascii="宋体" w:hAnsi="宋体"/>
          <w:color w:val="000000" w:themeColor="text1"/>
          <w:highlight w:val="none"/>
          <w14:textFill>
            <w14:solidFill>
              <w14:schemeClr w14:val="tx1"/>
            </w14:solidFill>
          </w14:textFill>
        </w:rPr>
        <w:t xml:space="preserve">第二章 磋商须知</w:t>
      </w:r>
      <w:bookmarkEnd w:id="9"/>
      <w:r/>
      <w:bookmarkEnd w:id="10"/>
      <w:r/>
      <w:bookmarkEnd w:id="28"/>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1、采购方式</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本次采购采取竞争性磋商方式，本采购文件仅适用于该项目。</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2.2合格的供应商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满足采购公告中供应商的资格条件要求的规定。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满足本文件实质性条款的规定。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3、适用法律</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3.1 本次采购及由此产生的合同受中华人民共和国有关的法律法规制约和保护。</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4、参加磋商费用</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w:t>
      </w:r>
      <w:r>
        <w:rPr>
          <w:rFonts w:hint="eastAsia"/>
          <w:color w:val="000000" w:themeColor="text1"/>
          <w:highlight w:val="none"/>
          <w14:textFill>
            <w14:solidFill>
              <w14:schemeClr w14:val="tx1"/>
            </w14:solidFill>
          </w14:textFill>
        </w:rPr>
        <w:t xml:space="preserve">供应商应自行承担所有与参加磋商有关的费用，无论磋商过程中的做法和结果如何，苏合邦筑工程咨询集团股份有限公司(以下简称代理机构)在任何情况下均无义务和责任承担这些费用。</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4.2</w:t>
      </w:r>
      <w:r>
        <w:rPr>
          <w:rFonts w:hint="eastAsia"/>
          <w:color w:val="000000" w:themeColor="text1"/>
          <w:highlight w:val="none"/>
          <w14:textFill>
            <w14:solidFill>
              <w14:schemeClr w14:val="tx1"/>
            </w14:solidFill>
          </w14:textFill>
        </w:rPr>
        <w:t xml:space="preserve">代理服务费：本招标文件约定由中标单位支付招标代理服务费及预算编制费，按照《江苏省招标代理服务收费的指导意见》苏招协【2022】2号和《江苏省建设工程造价咨询业务指导规程》苏建价协（2022）7号标准收取。该费用由中标单位在领取成交确认书前，向招标代理机构付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专家评审费按扬州市政府采购专家评审费标准执行结算。</w:t>
      </w:r>
      <w:r/>
    </w:p>
    <w:p>
      <w:pPr>
        <w:pStyle w:val="1119"/>
        <w:ind w:left="0" w:firstLine="368"/>
        <w:jc w:val="left"/>
        <w:spacing w:line="263" w:lineRule="exact"/>
        <w:tabs>
          <w:tab w:val="left" w:pos="1530" w:leader="none"/>
        </w:tabs>
        <w:rPr>
          <w:color w:val="000000" w:themeColor="text1"/>
          <w:highlight w:val="none"/>
          <w14:textFill>
            <w14:solidFill>
              <w14:schemeClr w14:val="tx1"/>
            </w14:solidFill>
          </w14:textFill>
        </w:rPr>
      </w:pPr>
      <w:r>
        <w:rPr>
          <w:color w:val="000000" w:themeColor="text1"/>
          <w:spacing w:val="-3"/>
          <w:sz w:val="19"/>
          <w:szCs w:val="19"/>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代理服务费以人民币支付；</w:t>
      </w:r>
      <w:r/>
    </w:p>
    <w:p>
      <w:pPr>
        <w:pStyle w:val="1119"/>
        <w:ind w:left="0" w:firstLine="368"/>
        <w:jc w:val="left"/>
        <w:spacing w:before="172"/>
        <w:tabs>
          <w:tab w:val="left" w:pos="1530" w:leader="none"/>
        </w:tabs>
        <w:rPr>
          <w:color w:val="000000" w:themeColor="text1"/>
          <w:highlight w:val="none"/>
          <w14:textFill>
            <w14:solidFill>
              <w14:schemeClr w14:val="tx1"/>
            </w14:solidFill>
          </w14:textFill>
        </w:rPr>
      </w:pPr>
      <w:r>
        <w:rPr>
          <w:color w:val="000000" w:themeColor="text1"/>
          <w:spacing w:val="-3"/>
          <w:sz w:val="19"/>
          <w:szCs w:val="19"/>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代理服务费一次性以电汇、转账等非现金形式支付；</w:t>
      </w:r>
      <w:r/>
    </w:p>
    <w:p>
      <w:pPr>
        <w:pStyle w:val="1119"/>
        <w:ind w:left="0" w:right="1680" w:firstLine="368"/>
        <w:jc w:val="left"/>
        <w:spacing w:before="171" w:line="391" w:lineRule="auto"/>
        <w:tabs>
          <w:tab w:val="left" w:pos="1530" w:leader="none"/>
        </w:tabs>
        <w:rPr>
          <w:color w:val="000000" w:themeColor="text1"/>
          <w:highlight w:val="none"/>
          <w14:textFill>
            <w14:solidFill>
              <w14:schemeClr w14:val="tx1"/>
            </w14:solidFill>
          </w14:textFill>
        </w:rPr>
      </w:pPr>
      <w:r>
        <w:rPr>
          <w:color w:val="000000" w:themeColor="text1"/>
          <w:spacing w:val="-3"/>
          <w:sz w:val="19"/>
          <w:szCs w:val="19"/>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代理服务费不在投标报价中单列，包含在投标总价中。</w:t>
      </w:r>
      <w:r/>
    </w:p>
    <w:p>
      <w:pPr>
        <w:pStyle w:val="922"/>
        <w:ind w:left="0" w:right="526" w:firstLine="420"/>
        <w:spacing w:before="4" w:line="391"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代理单位名称：苏合邦筑工程咨询集团股份有限公司江都分公司</w:t>
      </w:r>
      <w:r/>
    </w:p>
    <w:p>
      <w:pPr>
        <w:pStyle w:val="922"/>
        <w:ind w:left="0" w:right="4138" w:firstLine="420"/>
        <w:spacing w:before="4" w:line="391"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税        号：91321012MA21U2RM24</w:t>
      </w:r>
      <w:r/>
    </w:p>
    <w:p>
      <w:pPr>
        <w:pStyle w:val="922"/>
        <w:ind w:left="0" w:right="746" w:firstLine="420"/>
        <w:spacing w:before="4" w:line="391"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   户   行：中国银行股份有限公司扬州新都路支行</w:t>
      </w:r>
      <w:r/>
    </w:p>
    <w:p>
      <w:pPr>
        <w:pStyle w:val="922"/>
        <w:ind w:left="0" w:right="4138" w:firstLine="420"/>
        <w:spacing w:before="4" w:line="391"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行        号：104312501045</w:t>
      </w:r>
      <w:r/>
    </w:p>
    <w:p>
      <w:pPr>
        <w:pStyle w:val="922"/>
        <w:ind w:left="0" w:right="4138" w:firstLine="420"/>
        <w:spacing w:before="4" w:line="391"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账        号：549575531937</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5、采购文件的约束力</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供应商一旦参加本项目采购活动，即被认为接受了本采购文件的规定和约束。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6、采购文件构成</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采购文件有以下部分组成：</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（1）采购公告</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（2）磋商须知</w:t>
      </w:r>
      <w:r>
        <w:rPr>
          <w:rFonts w:hint="eastAsia"/>
          <w:color w:val="000000" w:themeColor="text1"/>
          <w:highlight w:val="none"/>
          <w14:textFill>
            <w14:solidFill>
              <w14:schemeClr w14:val="tx1"/>
            </w14:solidFill>
          </w14:textFill>
        </w:rPr>
        <w:tab/>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（3）合同条款及格式</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（4）项目需求</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（5）评审方法与评审标准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（6）竞争性磋商响应文件格式</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请仔细检查采购文件是否齐全，如有缺漏请立即与代理机构联系解决。</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采购文件如果要求供应商提交备选响应方案的，供应商可以提交备选方案；否则，备选方案将被拒绝。</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采购文件的澄清</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rFonts w:hint="eastAsia"/>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采购文件的修改</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8.2采购文件的修改将在“扬州市政府采购网”、“江苏省政府采购网”公布，补充文件将作为采购文件的组成部分，并对供应商具有约束力。</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9、采购文件的语言、度量衡单位、货币</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9.1供应商提交的响应文件以及供应商与代理机构就有关磋商的所有来往通知、函件和文件均应使用简体中文。</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除技术性能另有规定外，采购文件所使用的度量衡单位，均须采用国家法定计量单位。</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9.3采购文件中的服务单价和总价无特殊规定的采用人民币报价，以元为单位标注。采购文件中另有规定的按规定执行。</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10、响应文件构成</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0.1</w:t>
      </w:r>
      <w:r>
        <w:rPr>
          <w:rFonts w:hint="eastAsia"/>
          <w:color w:val="000000" w:themeColor="text1"/>
          <w:highlight w:val="none"/>
          <w14:textFill>
            <w14:solidFill>
              <w14:schemeClr w14:val="tx1"/>
            </w14:solidFill>
          </w14:textFill>
        </w:rPr>
        <w:t xml:space="preserve">磋商文件由以下部分组成</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（1）资格审查响应对照表</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（2）符合性审查响应对照表</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）非实质性响应对照表</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（4）磋商响应报价表 </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（5）分项报价表</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（6）技术参数响应及偏离表 </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（7）商务条款响应及偏离表 </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（8）设计方案（如有）：如未成功上传“设计投标文件”，投标单位需将电子投标光盘（设计图纸光盘密封并注明供应商单位名称）递交至代理机构（地址），招标代理单位将派工作人员在2026年</w:t>
      </w:r>
      <w:r>
        <w:rPr>
          <w:color w:val="000000" w:themeColor="text1"/>
          <w:highlight w:val="none"/>
          <w14:textFill>
            <w14:solidFill>
              <w14:schemeClr w14:val="tx1"/>
            </w14:solidFill>
          </w14:textFill>
        </w:rPr>
        <w:t xml:space="preserve">5月7日09点30分</w:t>
      </w:r>
      <w:r>
        <w:rPr>
          <w:rFonts w:hint="eastAsia"/>
          <w:color w:val="000000" w:themeColor="text1"/>
          <w:highlight w:val="none"/>
          <w14:textFill>
            <w14:solidFill>
              <w14:schemeClr w14:val="tx1"/>
            </w14:solidFill>
          </w14:textFill>
        </w:rPr>
        <w:t xml:space="preserve">时间内接收电子投标光盘。将电子投标光盘递交至招标代理工作人员处，逾期不予接收。</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（9）其他（供应商认为有必要提供的声明和文件，如有自拟并自行添加。设计方案）</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11、证明供应商资格及符合采购文件规定的文件</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11.1供应商应按要求提交资格证明文件及符合采购文件规定的文件。</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11.2供应商应提交证明其有资格参加磋商和成交后有能力独立履行合同的文件。</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11.3供应商除必须具有履行合同所需提供的产品或服务的能力外，还必须具备相应的财务、技术方面的能力。</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11.4供应商应提交根据合同要求提供的证明服务质量合格以及符合采购文件规定的证明文件。</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11.5证明供应商所提供服务与采购文件的要求相一致的文件可以是手册、图纸、文字资料和数据。</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12、磋商响应报价表</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供应商应按照采购文件规定格式填报磋商响应报价表，每项服务只允许有一个报价，任何有选择的报价将不予接受。</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标的物</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采购人需求的服务供应、安装，调试及有关技术服务等。</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12.3其它费用处理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采购文件未列明，而供应商认为必需的费用也需列入报价。</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13、技术参数响应及偏离表、商务条款响应及偏离表及磋商服务说明</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 对采购文件中的技术与商务条款要求逐项作出响应或偏离，并说明原因；</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13.2 提供参加本项目类似案例简介；</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13.3 详细阐述所投服务的主要组成部分、功能设计、实现思路及关键技术；</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13.4 供应商认为需要的其他技术文件或说明。</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14、服务承诺及售后服务机构、人员的情况介绍</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14.1供应商的服务承诺应按不低于采购文件中商务要求的标准。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15、磋商响应函</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 供应商应按照扬州市政府采购交易管理系统提供的格式完整、正确填写磋商响应函。</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16、磋商响应有效期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磋商响应有效期为代理机构规定的响应文件接收截止时间后</w:t>
      </w:r>
      <w:r>
        <w:rPr>
          <w:rFonts w:hint="eastAsia"/>
          <w:b/>
          <w:bCs/>
          <w:color w:val="000000" w:themeColor="text1"/>
          <w:highlight w:val="none"/>
          <w:u w:val="single"/>
          <w14:textFill>
            <w14:solidFill>
              <w14:schemeClr w14:val="tx1"/>
            </w14:solidFill>
          </w14:textFill>
        </w:rPr>
        <w:t xml:space="preserve">六十（60）天</w:t>
      </w:r>
      <w:r>
        <w:rPr>
          <w:rFonts w:hint="eastAsia"/>
          <w:color w:val="000000" w:themeColor="text1"/>
          <w:highlight w:val="none"/>
          <w14:textFill>
            <w14:solidFill>
              <w14:schemeClr w14:val="tx1"/>
            </w14:solidFill>
          </w14:textFill>
        </w:rPr>
        <w:t xml:space="preserve">。磋商响应有效期比规定短的将被视为非实质性响应而予以拒绝。</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color w:val="000000" w:themeColor="text1"/>
          <w:highlight w:val="none"/>
          <w14:textFill>
            <w14:solidFill>
              <w14:schemeClr w14:val="tx1"/>
            </w14:solidFill>
          </w14:textFill>
        </w:rPr>
      </w:pPr>
      <w:r/>
      <w:bookmarkStart w:id="29" w:name="_Toc16938541"/>
      <w:r/>
      <w:bookmarkStart w:id="30" w:name="_Toc20823297"/>
      <w:r>
        <w:rPr>
          <w:rFonts w:hint="eastAsia"/>
          <w:color w:val="000000" w:themeColor="text1"/>
          <w:highlight w:val="none"/>
          <w14:textFill>
            <w14:solidFill>
              <w14:schemeClr w14:val="tx1"/>
            </w14:solidFill>
          </w14:textFill>
        </w:rPr>
        <w:t xml:space="preserve">17、响应文件</w:t>
      </w:r>
      <w:bookmarkEnd w:id="29"/>
      <w:r/>
      <w:bookmarkEnd w:id="30"/>
      <w:r>
        <w:rPr>
          <w:rFonts w:hint="eastAsia"/>
          <w:color w:val="000000" w:themeColor="text1"/>
          <w:highlight w:val="none"/>
          <w14:textFill>
            <w14:solidFill>
              <w14:schemeClr w14:val="tx1"/>
            </w14:solidFill>
          </w14:textFill>
        </w:rPr>
        <w:t xml:space="preserve">的递交</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 电子响应文件的递交供应商应当按照《操作手册》规定，在磋商响应截止时间前制作并上传电子响应文件。</w:t>
      </w:r>
      <w:bookmarkStart w:id="31" w:name="_Toc16938542"/>
      <w:r/>
      <w:bookmarkStart w:id="32" w:name="_Toc20823298"/>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17.2</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b/>
          <w:color w:val="000000" w:themeColor="text1"/>
          <w:szCs w:val="21"/>
          <w:highlight w:val="none"/>
          <w14:textFill>
            <w14:solidFill>
              <w14:schemeClr w14:val="tx1"/>
            </w14:solidFill>
          </w14:textFill>
        </w:rPr>
        <w:t xml:space="preserve">相关要求是本采购文件的组成部分。</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17.3供应商应对 CA 证书妥善保管，如被他人盗用投标，因此带来的结果均由供应商自行承担。</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17.4供应商应当对采购文件提出的要求和条件作出实质性响应，并在电子投标系统逐条应答。</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17.5</w:t>
      </w:r>
      <w:r>
        <w:rPr>
          <w:rFonts w:hint="eastAsia" w:ascii="宋体" w:hAnsi="宋体"/>
          <w:b/>
          <w:bCs/>
          <w:color w:val="000000" w:themeColor="text1"/>
          <w:highlight w:val="none"/>
          <w14:textFill>
            <w14:solidFill>
              <w14:schemeClr w14:val="tx1"/>
            </w14:solidFill>
          </w14:textFill>
        </w:rPr>
        <w:t xml:space="preserve">供应商</w:t>
      </w:r>
      <w:r>
        <w:rPr>
          <w:rFonts w:hint="eastAsia" w:ascii="宋体" w:hAnsi="宋体"/>
          <w:b/>
          <w:color w:val="000000" w:themeColor="text1"/>
          <w:szCs w:val="21"/>
          <w:highlight w:val="none"/>
          <w14:textFill>
            <w14:solidFill>
              <w14:schemeClr w14:val="tx1"/>
            </w14:solidFill>
          </w14:textFill>
        </w:rPr>
        <w:t xml:space="preserve">应对要求提供的资格证明文件（如资质证书、资格证书）、技术资料（如白皮书、彩页、手册、检测报告等）原件扫描上传至投标系统。</w:t>
      </w:r>
      <w:r/>
    </w:p>
    <w:p>
      <w:pPr>
        <w:ind w:firstLine="422"/>
        <w:spacing w:line="360" w:lineRule="auto"/>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17.6各</w:t>
      </w:r>
      <w:r>
        <w:rPr>
          <w:rFonts w:hint="eastAsia" w:ascii="宋体" w:hAnsi="宋体"/>
          <w:b/>
          <w:bCs/>
          <w:color w:val="000000" w:themeColor="text1"/>
          <w:highlight w:val="none"/>
          <w14:textFill>
            <w14:solidFill>
              <w14:schemeClr w14:val="tx1"/>
            </w14:solidFill>
          </w14:textFill>
        </w:rPr>
        <w:t xml:space="preserve">供应商</w:t>
      </w:r>
      <w:r>
        <w:rPr>
          <w:rFonts w:hint="eastAsia" w:ascii="宋体" w:hAnsi="宋体"/>
          <w:b/>
          <w:color w:val="000000" w:themeColor="text1"/>
          <w:szCs w:val="21"/>
          <w:highlight w:val="none"/>
          <w14:textFill>
            <w14:solidFill>
              <w14:schemeClr w14:val="tx1"/>
            </w14:solidFill>
          </w14:textFill>
        </w:rPr>
        <w:t xml:space="preserve">应在规定时间内凭CA证书进行网上解密。</w:t>
      </w:r>
      <w:r/>
    </w:p>
    <w:p>
      <w:pPr>
        <w:ind w:firstLine="422"/>
        <w:spacing w:line="360" w:lineRule="auto"/>
        <w:rPr>
          <w:bCs/>
          <w:color w:val="000000" w:themeColor="text1"/>
          <w:sz w:val="24"/>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18、磋商响应截止日期</w:t>
      </w:r>
      <w:bookmarkEnd w:id="31"/>
      <w:r/>
      <w:bookmarkEnd w:id="32"/>
      <w:r/>
      <w:r/>
    </w:p>
    <w:p>
      <w:pPr>
        <w:ind w:firstLine="420"/>
        <w:spacing w:line="360" w:lineRule="auto"/>
        <w:rPr>
          <w:bCs/>
          <w:i/>
          <w:color w:val="000000" w:themeColor="text1"/>
          <w:highlight w:val="none"/>
          <w:u w:val="single"/>
          <w14:textFill>
            <w14:solidFill>
              <w14:schemeClr w14:val="tx1"/>
            </w14:solidFill>
          </w14:textFill>
        </w:rPr>
      </w:pPr>
      <w:r>
        <w:rPr>
          <w:rFonts w:hint="eastAsia"/>
          <w:i/>
          <w:color w:val="000000" w:themeColor="text1"/>
          <w:highlight w:val="none"/>
          <w:u w:val="single"/>
          <w14:textFill>
            <w14:solidFill>
              <w14:schemeClr w14:val="tx1"/>
            </w14:solidFill>
          </w14:textFill>
        </w:rPr>
        <w:t xml:space="preserve">18.1</w:t>
      </w:r>
      <w:r>
        <w:rPr>
          <w:rFonts w:hint="eastAsia"/>
          <w:bCs/>
          <w:i/>
          <w:color w:val="000000" w:themeColor="text1"/>
          <w:highlight w:val="none"/>
          <w:u w:val="single"/>
          <w14:textFill>
            <w14:solidFill>
              <w14:schemeClr w14:val="tx1"/>
            </w14:solidFill>
          </w14:textFill>
        </w:rPr>
        <w:t xml:space="preserve"> 供应商上传电子响应文件的时间不得迟于采购公告中规定的磋商响应截止时间。</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color w:val="000000" w:themeColor="text1"/>
          <w:highlight w:val="none"/>
          <w14:textFill>
            <w14:solidFill>
              <w14:schemeClr w14:val="tx1"/>
            </w14:solidFill>
          </w14:textFill>
        </w:rPr>
      </w:pPr>
      <w:r/>
      <w:bookmarkStart w:id="33" w:name="_Toc20823299"/>
      <w:r/>
      <w:bookmarkStart w:id="34" w:name="_Toc16938543"/>
      <w:r>
        <w:rPr>
          <w:rFonts w:hint="eastAsia"/>
          <w:color w:val="000000" w:themeColor="text1"/>
          <w:highlight w:val="none"/>
          <w14:textFill>
            <w14:solidFill>
              <w14:schemeClr w14:val="tx1"/>
            </w14:solidFill>
          </w14:textFill>
        </w:rPr>
        <w:t xml:space="preserve">19、响应文件</w:t>
      </w:r>
      <w:bookmarkEnd w:id="33"/>
      <w:r/>
      <w:bookmarkEnd w:id="34"/>
      <w:r>
        <w:rPr>
          <w:rFonts w:hint="eastAsia"/>
          <w:color w:val="000000" w:themeColor="text1"/>
          <w:highlight w:val="none"/>
          <w14:textFill>
            <w14:solidFill>
              <w14:schemeClr w14:val="tx1"/>
            </w14:solidFill>
          </w14:textFill>
        </w:rPr>
        <w:t xml:space="preserve">的拒收</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19.1代理机构拒绝接收在其规定的磋商截止时间后上传的任何响应文件。</w:t>
      </w:r>
      <w:r/>
    </w:p>
    <w:p>
      <w:pPr>
        <w:ind w:firstLine="420"/>
        <w:spacing w:line="360" w:lineRule="auto"/>
        <w:rPr>
          <w:color w:val="000000" w:themeColor="text1"/>
          <w:highlight w:val="none"/>
          <w14:textFill>
            <w14:solidFill>
              <w14:schemeClr w14:val="tx1"/>
            </w14:solidFill>
          </w14:textFill>
        </w:rPr>
      </w:pPr>
      <w:r/>
      <w:bookmarkStart w:id="35" w:name="_Toc16938544"/>
      <w:r/>
      <w:bookmarkStart w:id="36" w:name="_Toc20823300"/>
      <w:r>
        <w:rPr>
          <w:rFonts w:hint="eastAsia"/>
          <w:color w:val="000000" w:themeColor="text1"/>
          <w:highlight w:val="none"/>
          <w14:textFill>
            <w14:solidFill>
              <w14:schemeClr w14:val="tx1"/>
            </w14:solidFill>
          </w14:textFill>
        </w:rPr>
        <w:t xml:space="preserve">20、响应文件的撤回和修改</w:t>
      </w:r>
      <w:bookmarkEnd w:id="35"/>
      <w:r/>
      <w:bookmarkEnd w:id="36"/>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响应文件的撤回</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20.1.1 电子响应文件的撤回</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供应商可在磋商截止时间前，撤回其电子响应文件，具体操作方法见《操作手册》。</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20.1.2 供应商撤回电子响应文件，则认为其不再参与本项目磋商谈判。</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 响应文件的修改</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20.3 在磋商截止时间之后，供应商不得对其电子响应文件作任何修改。</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20.4 在磋商截止时间至采购文件中规定的磋商有效期满之间的这段时间内，供应商不得撤回其响应文件。</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21、磋商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 代理机构将在采购公告中规定的时间和地点组织磋商开始仪式。供应商应当按照《操作手册》规定，参加磋商活动。</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21.2供应商在磋商过程中涉及到的响应文件解密等工作，应按照《操作手册》规定执行。</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22、磋商小组</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22.1磋商开始后，代理机构将立即组织磋商小组进行评审。</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22.2磋商小组由采购人代表和有关技术、经济等方面的专家组成，且人员构成符合政府采购有关规定。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22.3磋商小组独立工作，负责评审有效响应文件并确定成交候选供应商。</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23、评审过程的保密与公正</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23.1评审专家应当遵守评审工作纪律，不得泄露评审情况和评审中获悉的商业秘密。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在评审期间，代理机构将设专门工作人员与供应商联系。</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代理机构和磋商小组不向未成交的供应商解释未成交原因，也不公布评审过程中的相关细节。</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24、磋商的澄清</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24.2接到磋商小组澄清要求的供应商应按磋商小组规定的时间和格式在</w:t>
      </w:r>
      <w:r>
        <w:rPr>
          <w:rFonts w:hint="eastAsia"/>
          <w:b/>
          <w:bCs/>
          <w:color w:val="000000" w:themeColor="text1"/>
          <w:highlight w:val="none"/>
          <w14:textFill>
            <w14:solidFill>
              <w14:schemeClr w14:val="tx1"/>
            </w14:solidFill>
          </w14:textFill>
        </w:rPr>
        <w:t xml:space="preserve">”政府采购管理交易系统（苏采云）”</w:t>
      </w:r>
      <w:r>
        <w:rPr>
          <w:rFonts w:hint="eastAsia"/>
          <w:color w:val="000000" w:themeColor="text1"/>
          <w:highlight w:val="none"/>
          <w14:textFill>
            <w14:solidFill>
              <w14:schemeClr w14:val="tx1"/>
            </w14:solidFill>
          </w14:textFill>
        </w:rPr>
        <w:t xml:space="preserve">中做出澄清，澄清的内容作为响应文件的补充部分。具体</w:t>
      </w:r>
      <w:r>
        <w:rPr>
          <w:color w:val="000000" w:themeColor="text1"/>
          <w:highlight w:val="none"/>
          <w14:textFill>
            <w14:solidFill>
              <w14:schemeClr w14:val="tx1"/>
            </w14:solidFill>
          </w14:textFill>
        </w:rPr>
        <w:t xml:space="preserve">操作</w:t>
      </w:r>
      <w:r>
        <w:rPr>
          <w:rFonts w:hint="eastAsia"/>
          <w:color w:val="000000" w:themeColor="text1"/>
          <w:highlight w:val="none"/>
          <w14:textFill>
            <w14:solidFill>
              <w14:schemeClr w14:val="tx1"/>
            </w14:solidFill>
          </w14:textFill>
        </w:rPr>
        <w:t xml:space="preserve">方式</w:t>
      </w:r>
      <w:r>
        <w:rPr>
          <w:color w:val="000000" w:themeColor="text1"/>
          <w:highlight w:val="none"/>
          <w14:textFill>
            <w14:solidFill>
              <w14:schemeClr w14:val="tx1"/>
            </w14:solidFill>
          </w14:textFill>
        </w:rPr>
        <w:t xml:space="preserve">见</w:t>
      </w:r>
      <w:r>
        <w:rPr>
          <w:rFonts w:hint="eastAsia"/>
          <w:bCs/>
          <w:color w:val="000000" w:themeColor="text1"/>
          <w:highlight w:val="none"/>
          <w14:textFill>
            <w14:solidFill>
              <w14:schemeClr w14:val="tx1"/>
            </w14:solidFill>
          </w14:textFill>
        </w:rPr>
        <w:t xml:space="preserve">《操作手册》</w:t>
      </w:r>
      <w:r>
        <w:rPr>
          <w:rFonts w:hint="eastAsia"/>
          <w:color w:val="000000" w:themeColor="text1"/>
          <w:highlight w:val="none"/>
          <w14:textFill>
            <w14:solidFill>
              <w14:schemeClr w14:val="tx1"/>
            </w14:solidFill>
          </w14:textFill>
        </w:rPr>
        <w:t xml:space="preserve">。</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24.3 接到磋商小组澄清要求的供应商如未按规定做出澄清，其风险由供应商自行承担。</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25、对响应文件的初审</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25.1响应文件初审分为资格审查和符合性审查。</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25.1.1资格审查：依据法律法规和采购文件的规定，对响应文件中的资格证明文件进行审查。以确定供应商是否具备参加磋商的资格。</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25.1.3 未通过资格审查或符合性审查的供应商，代理机构将在</w:t>
      </w:r>
      <w:r>
        <w:rPr>
          <w:rFonts w:hint="eastAsia"/>
          <w:b/>
          <w:bCs/>
          <w:color w:val="000000" w:themeColor="text1"/>
          <w:highlight w:val="none"/>
          <w14:textFill>
            <w14:solidFill>
              <w14:schemeClr w14:val="tx1"/>
            </w14:solidFill>
          </w14:textFill>
        </w:rPr>
        <w:t xml:space="preserve">“政府采购管理交易系统（苏采云）”</w:t>
      </w:r>
      <w:r>
        <w:rPr>
          <w:rFonts w:hint="eastAsia"/>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供应商在开、评标全过程中应保持通讯畅通，并安排专人与代理机构及磋商小组联系。</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26、磋商程序及评审方法和标准</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26.1磋商程序</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26.1.1 对于通过资格性和符合性审查的供应商，磋商小组所有成员将集中与单一供应商在“</w:t>
      </w:r>
      <w:r>
        <w:rPr>
          <w:rFonts w:hint="eastAsia"/>
          <w:b/>
          <w:bCs/>
          <w:color w:val="000000" w:themeColor="text1"/>
          <w:highlight w:val="none"/>
          <w:shd w:val="clear" w:color="ffffff" w:fill="ffffff"/>
          <w14:textFill>
            <w14:solidFill>
              <w14:schemeClr w14:val="tx1"/>
            </w14:solidFill>
          </w14:textFill>
        </w:rPr>
        <w:t xml:space="preserve">政府采购管理交易系统（苏采云）</w:t>
      </w:r>
      <w:r>
        <w:rPr>
          <w:rFonts w:hint="eastAsia"/>
          <w:b/>
          <w:bCs/>
          <w:color w:val="000000" w:themeColor="text1"/>
          <w:highlight w:val="none"/>
          <w14:textFill>
            <w14:solidFill>
              <w14:schemeClr w14:val="tx1"/>
            </w14:solidFill>
          </w14:textFill>
        </w:rPr>
        <w:t xml:space="preserve">”中分别进行磋商。</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26.1.2 采购文件能够详细列明采购标的的技术、服务要求的，磋商结束后，磋商小组将要求所有实质性响应的供应商在规定时间内提交最后报价。</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26.1.4异常低价投标（响应）</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26.1.4.1投标（响应）报价低于全部通过符合性审查供应商投标（响应）报价平均值65%的，即投标（响应）报价&lt;全部通过符合性审查供应商投标（响应）报价平均值×65%；</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26.1.4.2投标（响应）报价低于通过符合性审查的次低报价供应商投标（响应）报价65%的，即投标（响应）报价&lt;通过符合性审查的次低报价供应商投标（响应）报价×65%；</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26.1.4.3投标（响应）报价低于采购项目最高限价65%的，即投标（响应）报价&lt;采购项目最高限价×65%；</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相关法律法规对供应商报价有规定的，从其规定。</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26.1.4.7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26.1.4.8异常低价投标（响应）审查的启动原因、审查意见和审查结果应当在评审报告中记录，并随供应商提供的相关书面说明及证明材料，以及评审委员会有关互联网浏览、查询历史一并归档。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26.1.4.4评审委员会基于专业判断，认为供应商报价过低，有可能影响产品质量或者不能诚信履约的其他情形。</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26.2 评审方法和标准</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26.2.2评审标准</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见本采购文件第五章规定。</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27、无效响应及采购活动终止的情况</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27.1无效响应条款</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27.1.1 供应商未按照采购文件要求上传电子磋商响应文件的。</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27.1.2 供应商未成功解密电子磋商响应文件的。</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27.1.3 供应商不具备采购文件中规定资格要求的。</w:t>
      </w:r>
      <w:r/>
    </w:p>
    <w:p>
      <w:pPr>
        <w:ind w:firstLine="420"/>
        <w:spacing w:line="360" w:lineRule="auto"/>
        <w:rPr>
          <w:bCs/>
          <w:i/>
          <w:color w:val="000000" w:themeColor="text1"/>
          <w:highlight w:val="none"/>
          <w:u w:val="single"/>
          <w14:textFill>
            <w14:solidFill>
              <w14:schemeClr w14:val="tx1"/>
            </w14:solidFill>
          </w14:textFill>
        </w:rPr>
      </w:pPr>
      <w:r>
        <w:rPr>
          <w:rFonts w:hint="eastAsia"/>
          <w:bCs/>
          <w:color w:val="000000" w:themeColor="text1"/>
          <w:highlight w:val="none"/>
          <w14:textFill>
            <w14:solidFill>
              <w14:schemeClr w14:val="tx1"/>
            </w14:solidFill>
          </w14:textFill>
        </w:rPr>
        <w:t xml:space="preserve">27.1.4 未通过符合性审查的。</w:t>
      </w:r>
      <w:r/>
    </w:p>
    <w:p>
      <w:pPr>
        <w:ind w:firstLine="420"/>
        <w:spacing w:line="360" w:lineRule="auto"/>
        <w:rPr>
          <w:bCs/>
          <w:i/>
          <w:color w:val="000000" w:themeColor="text1"/>
          <w:highlight w:val="none"/>
          <w:u w:val="single"/>
          <w14:textFill>
            <w14:solidFill>
              <w14:schemeClr w14:val="tx1"/>
            </w14:solidFill>
          </w14:textFill>
        </w:rPr>
      </w:pPr>
      <w:r>
        <w:rPr>
          <w:rFonts w:hint="eastAsia"/>
          <w:bCs/>
          <w:color w:val="000000" w:themeColor="text1"/>
          <w:highlight w:val="none"/>
          <w14:textFill>
            <w14:solidFill>
              <w14:schemeClr w14:val="tx1"/>
            </w14:solidFill>
          </w14:textFill>
        </w:rPr>
        <w:t xml:space="preserve">27.1.5 不符合采购文件中规定的其他实质性要求和条件的（</w:t>
      </w:r>
      <w:r>
        <w:rPr>
          <w:rFonts w:hint="eastAsia"/>
          <w:bCs/>
          <w:i/>
          <w:color w:val="000000" w:themeColor="text1"/>
          <w:highlight w:val="none"/>
          <w:u w:val="single"/>
          <w14:textFill>
            <w14:solidFill>
              <w14:schemeClr w14:val="tx1"/>
            </w14:solidFill>
          </w14:textFill>
        </w:rPr>
        <w:t xml:space="preserve">本采购文件中斜体且有下划线部分为实质性要求和条件）。</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27.1.6 </w:t>
      </w:r>
      <w:r>
        <w:rPr>
          <w:rFonts w:hint="eastAsia"/>
          <w:color w:val="000000" w:themeColor="text1"/>
          <w:highlight w:val="none"/>
          <w14:textFill>
            <w14:solidFill>
              <w14:schemeClr w14:val="tx1"/>
            </w14:solidFill>
          </w14:textFil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27.1.8 响应文件未按照采购文件要求加盖电子签章。</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27.1.9 其他法律、法规及本采购文件规定的属无效响应的情形。</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27.2 </w:t>
      </w:r>
      <w:r>
        <w:rPr>
          <w:rFonts w:hint="eastAsia"/>
          <w:color w:val="000000" w:themeColor="text1"/>
          <w:highlight w:val="none"/>
          <w14:textFill>
            <w14:solidFill>
              <w14:schemeClr w14:val="tx1"/>
            </w14:solidFill>
          </w14:textFill>
        </w:rPr>
        <w:t xml:space="preserve">采购活动终止的情况</w:t>
      </w:r>
      <w:r>
        <w:rPr>
          <w:rFonts w:hint="eastAsia"/>
          <w:bCs/>
          <w:color w:val="000000" w:themeColor="text1"/>
          <w:highlight w:val="none"/>
          <w14:textFill>
            <w14:solidFill>
              <w14:schemeClr w14:val="tx1"/>
            </w14:solidFill>
          </w14:textFill>
        </w:rPr>
        <w:t xml:space="preserve">：</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27.2.1 因情况变化，不再符合规定的竞争性磋商采购方式适用情形的；</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27.2.2 出现影响采购公正的违法、违规行为的；</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27.2.3 </w:t>
      </w:r>
      <w:r>
        <w:rPr>
          <w:rFonts w:hint="eastAsia"/>
          <w:color w:val="000000" w:themeColor="text1"/>
          <w:highlight w:val="none"/>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420"/>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27.2.4 因重大变故，采购任务取消的。</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28、确定成交单位</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28.2采购人应根据磋商推荐的成交候选人，按照排序由高到低的原件确定成交供应商。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代理机构将在“扬州市政府采购网”、”江苏省政府采购网”发布成交公告，公告期限为1个工作日。</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若有充分证据证明，成交供应商出现下列情况之一的，一经查实，将被取消成交资格：</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28.4.1 提供虚假材料谋取成交的；</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28.4.2 向采购人、代理机构行贿或者提供其他不正当利益的；</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28.4.3 恶意竞争，最终总报价明显低于其自身合理成本且又无法提供证明的；</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28.4.4 属于本文件规定的无效条件，但在评审过程中又未被磋商小组发现的；</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28.4.5 与采购人或者其他供应商恶意串通的；</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28.4.6 采取不正当手段诋毁、排挤其他供应商的；</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28.4.7 不符合法律、法规的规定的。</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29、质疑处理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w:t>
      </w:r>
      <w:r>
        <w:rPr>
          <w:rFonts w:hint="eastAsia" w:ascii="宋体" w:hAnsi="宋体" w:cs="宋体"/>
          <w:color w:val="000000" w:themeColor="text1"/>
          <w:highlight w:val="none"/>
          <w14:textFill>
            <w14:solidFill>
              <w14:schemeClr w14:val="tx1"/>
            </w14:solidFill>
          </w14:textFill>
        </w:rPr>
        <w:t xml:space="preserve">提出质疑的供应商应当是参与所质疑项目采购活动且满足采购活动相关资质要求的供应商。潜在供应商依法获取其可质疑的采购文件的，可以对采购文件提出质疑。</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对项目需求部分的质疑，潜在供应商应向采购人提出，由采购人负责答复。</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29.2.2对采购过程提出质疑的，为各采购程序环节结束之日起7个工作日内提出。</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29.2.3对成交结果提出质疑的，为成交结果公告期限届满之日起7个工作日内提出。</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29.5 代理机构及采购人只接收以纸质原件形式送达的质疑。</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采购人质疑接收人及联系方式见采购文件第一章。</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29.7质疑人应当在法定质疑期限内进行补正并重新提交质疑函。</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 以下情形的质疑不予受理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29.8.1 内容不符合《政府采购质疑和投诉办法》第十二条规定的质疑。</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29.8.2 超出政府采购法定期限的质疑。</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29.8.3 以传真、电子邮件等方式递交的非原件形式的质疑。</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29.8.4 未参加磋商活动的供应商或在磋商活动中自身权益未受到损害的供应商所提出的质疑。</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29.8.5供应商组成联合体参加磋商，联合体中任何一方或多方未按要求签字、盖章、加盖公章的质疑。</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30、成交通知书</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30.l成交结果确定后，代理机构将向成交供应商发出成通知书。</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 成交供应商可在”扬州市政府采购交易管理系统（苏采云）”成交通知书下载模块中自行下载成交通知书。</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31、签订合同</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31.l成交供应商应在成交通知书发出之日起十五日内，按照采购文件确定的事项与采购人签订政府采购合同。</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31.2采购文件、成交供应商的响应文件及磋商过程中有关澄清、承诺文件均应作为合同附件。</w:t>
      </w:r>
      <w:r/>
    </w:p>
    <w:p>
      <w:pPr>
        <w:ind w:firstLine="420"/>
        <w:spacing w:line="360" w:lineRule="auto"/>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31.3 合同在“政府采购管理交易系统（苏采云）”中签订，签订合同后，</w:t>
      </w:r>
      <w:r>
        <w:rPr>
          <w:rFonts w:hint="eastAsia" w:ascii="宋体" w:hAnsi="宋体"/>
          <w:bCs/>
          <w:i/>
          <w:iCs/>
          <w:color w:val="000000" w:themeColor="text1"/>
          <w:szCs w:val="21"/>
          <w:highlight w:val="none"/>
          <w:u w:val="single"/>
          <w14:textFill>
            <w14:solidFill>
              <w14:schemeClr w14:val="tx1"/>
            </w14:solidFill>
          </w14:textFill>
        </w:rPr>
        <w:t xml:space="preserve">成交供应商不得将货物或服务及其他服务进行转包</w:t>
      </w:r>
      <w:r>
        <w:rPr>
          <w:rFonts w:hint="eastAsia" w:ascii="宋体" w:hAnsi="宋体"/>
          <w:bCs/>
          <w:color w:val="000000" w:themeColor="text1"/>
          <w:szCs w:val="21"/>
          <w:highlight w:val="none"/>
          <w14:textFill>
            <w14:solidFill>
              <w14:schemeClr w14:val="tx1"/>
            </w14:solidFill>
          </w14:textFill>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3</w:t>
      </w:r>
      <w:r>
        <w:rPr>
          <w:rFonts w:hint="eastAsia"/>
          <w:b/>
          <w:bCs/>
          <w:color w:val="000000" w:themeColor="text1"/>
          <w:highlight w:val="none"/>
          <w14:textFill>
            <w14:solidFill>
              <w14:schemeClr w14:val="tx1"/>
            </w14:solidFill>
          </w14:textFill>
        </w:rPr>
        <w:t xml:space="preserve">2、其他</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依据《政府采购促进中小企业发展管理办法》享受扶持政策获得政府采购合同的，小微企业不得将合同分包给大中型企业，中型企业不得将合同分包给大型企业。</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096"/>
        <w:jc w:val="center"/>
        <w:spacing w:line="360" w:lineRule="auto"/>
        <w:rPr>
          <w:rFonts w:ascii="宋体" w:hAnsi="宋体"/>
          <w:color w:val="000000" w:themeColor="text1"/>
          <w:highlight w:val="none"/>
          <w14:textFill>
            <w14:solidFill>
              <w14:schemeClr w14:val="tx1"/>
            </w14:solidFill>
          </w14:textFill>
        </w:rPr>
      </w:pPr>
      <w:r/>
      <w:bookmarkStart w:id="37" w:name="_Toc11480"/>
      <w:r/>
      <w:bookmarkStart w:id="38" w:name="_Toc24601"/>
      <w:r/>
      <w:bookmarkStart w:id="39" w:name="_Toc107582398"/>
      <w:r/>
      <w:bookmarkStart w:id="40" w:name="_Toc21358"/>
      <w:r>
        <w:rPr>
          <w:rFonts w:hint="eastAsia" w:ascii="宋体" w:hAnsi="宋体"/>
          <w:color w:val="000000" w:themeColor="text1"/>
          <w:highlight w:val="none"/>
          <w14:textFill>
            <w14:solidFill>
              <w14:schemeClr w14:val="tx1"/>
            </w14:solidFill>
          </w14:textFill>
        </w:rPr>
        <w:t xml:space="preserve">第三章 合同条款及格式</w:t>
      </w:r>
      <w:bookmarkEnd w:id="37"/>
      <w:r/>
      <w:bookmarkEnd w:id="38"/>
      <w:r/>
      <w:bookmarkEnd w:id="39"/>
      <w:r/>
      <w:bookmarkEnd w:id="40"/>
      <w:r/>
      <w:r/>
    </w:p>
    <w:p>
      <w:pPr>
        <w:pStyle w:val="1099"/>
        <w:ind w:firstLine="400"/>
        <w:spacing w:before="120" w:after="120" w:line="36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以下为成交后签定本项目合同的通用条款，成交供应商不得提出实质性的修改，关于专用条款将由采购人与成交供应商结合本项目具体情况协商后签订。</w:t>
      </w:r>
      <w:r/>
    </w:p>
    <w:p>
      <w:pPr>
        <w:jc w:val="left"/>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（GF—2017—0201）</w:t>
      </w:r>
      <w:r/>
    </w:p>
    <w:p>
      <w:pPr>
        <w:pStyle w:val="1100"/>
        <w:jc w:val="center"/>
        <w:spacing w:before="0" w:after="0"/>
        <w:rPr>
          <w:rFonts w:ascii="宋体" w:hAnsi="宋体" w:cs="宋体"/>
          <w:b w:val="0"/>
          <w:bCs w:val="0"/>
          <w:color w:val="000000" w:themeColor="text1"/>
          <w:sz w:val="72"/>
          <w:szCs w:val="72"/>
          <w:highlight w:val="none"/>
          <w14:textFill>
            <w14:solidFill>
              <w14:schemeClr w14:val="tx1"/>
            </w14:solidFill>
          </w14:textFill>
        </w:rPr>
      </w:pPr>
      <w:r>
        <w:rPr>
          <w:rFonts w:hint="eastAsia" w:ascii="宋体" w:hAnsi="宋体" w:cs="宋体"/>
          <w:b w:val="0"/>
          <w:bCs w:val="0"/>
          <w:color w:val="000000" w:themeColor="text1"/>
          <w:sz w:val="72"/>
          <w:szCs w:val="72"/>
          <w:highlight w:val="none"/>
          <w14:textFill>
            <w14:solidFill>
              <w14:schemeClr w14:val="tx1"/>
            </w14:solidFill>
          </w14:textFill>
        </w:rPr>
        <w:t xml:space="preserve">建设工程施工合同</w:t>
      </w:r>
      <w:r/>
    </w:p>
    <w:p>
      <w:pPr>
        <w:jc w:val="center"/>
        <w:rPr>
          <w:rFonts w:ascii="宋体" w:hAnsi="宋体" w:cs="宋体"/>
          <w:b/>
          <w:color w:val="000000" w:themeColor="text1"/>
          <w:sz w:val="52"/>
          <w:szCs w:val="52"/>
          <w:highlight w:val="none"/>
          <w14:textFill>
            <w14:solidFill>
              <w14:schemeClr w14:val="tx1"/>
            </w14:solidFill>
          </w14:textFill>
        </w:rPr>
      </w:pPr>
      <w:r>
        <w:rPr>
          <w:rFonts w:ascii="宋体" w:hAnsi="宋体" w:cs="宋体"/>
          <w:b/>
          <w:color w:val="000000" w:themeColor="text1"/>
          <w:sz w:val="52"/>
          <w:szCs w:val="52"/>
          <w:highlight w:val="none"/>
          <w14:textFill>
            <w14:solidFill>
              <w14:schemeClr w14:val="tx1"/>
            </w14:solidFill>
          </w14:textFill>
        </w:rPr>
      </w:r>
      <w:r/>
    </w:p>
    <w:p>
      <w:pPr>
        <w:jc w:val="center"/>
        <w:rPr>
          <w:rFonts w:ascii="宋体" w:hAnsi="宋体" w:cs="宋体"/>
          <w:b/>
          <w:color w:val="000000" w:themeColor="text1"/>
          <w:sz w:val="52"/>
          <w:szCs w:val="52"/>
          <w:highlight w:val="none"/>
          <w14:textFill>
            <w14:solidFill>
              <w14:schemeClr w14:val="tx1"/>
            </w14:solidFill>
          </w14:textFill>
        </w:rPr>
      </w:pPr>
      <w:r>
        <w:rPr>
          <w:rFonts w:ascii="宋体" w:hAnsi="宋体" w:cs="宋体"/>
          <w:b/>
          <w:color w:val="000000" w:themeColor="text1"/>
          <w:sz w:val="52"/>
          <w:szCs w:val="52"/>
          <w:highlight w:val="none"/>
          <w14:textFill>
            <w14:solidFill>
              <w14:schemeClr w14:val="tx1"/>
            </w14:solidFill>
          </w14:textFill>
        </w:rPr>
      </w:r>
      <w:r/>
    </w:p>
    <w:p>
      <w:pPr>
        <w:jc w:val="center"/>
        <w:rPr>
          <w:rFonts w:ascii="宋体" w:hAnsi="宋体" w:cs="宋体"/>
          <w:b/>
          <w:color w:val="000000" w:themeColor="text1"/>
          <w:sz w:val="72"/>
          <w:szCs w:val="72"/>
          <w:highlight w:val="none"/>
          <w14:textFill>
            <w14:solidFill>
              <w14:schemeClr w14:val="tx1"/>
            </w14:solidFill>
          </w14:textFill>
        </w:rPr>
      </w:pPr>
      <w:r>
        <w:rPr>
          <w:rFonts w:ascii="宋体" w:hAnsi="宋体" w:cs="宋体"/>
          <w:b/>
          <w:color w:val="000000" w:themeColor="text1"/>
          <w:sz w:val="72"/>
          <w:szCs w:val="72"/>
          <w:highlight w:val="none"/>
          <w14:textFill>
            <w14:solidFill>
              <w14:schemeClr w14:val="tx1"/>
            </w14:solidFill>
          </w14:textFill>
        </w:rPr>
      </w:r>
      <w:r/>
    </w:p>
    <w:p>
      <w:pPr>
        <w:jc w:val="center"/>
        <w:rPr>
          <w:rFonts w:ascii="宋体" w:hAnsi="宋体" w:cs="宋体"/>
          <w:b/>
          <w:color w:val="000000" w:themeColor="text1"/>
          <w:sz w:val="72"/>
          <w:szCs w:val="72"/>
          <w:highlight w:val="none"/>
          <w14:textFill>
            <w14:solidFill>
              <w14:schemeClr w14:val="tx1"/>
            </w14:solidFill>
          </w14:textFill>
        </w:rPr>
      </w:pPr>
      <w:r>
        <w:rPr>
          <w:rFonts w:ascii="宋体" w:hAnsi="宋体" w:cs="宋体"/>
          <w:b/>
          <w:color w:val="000000" w:themeColor="text1"/>
          <w:sz w:val="72"/>
          <w:szCs w:val="72"/>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ind w:right="2719"/>
        <w:rPr>
          <w:rFonts w:ascii="宋体" w:hAnsi="宋体" w:cs="宋体"/>
          <w:b/>
          <w:color w:val="000000" w:themeColor="text1"/>
          <w:sz w:val="32"/>
          <w:szCs w:val="28"/>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rPr>
                                <w:rFonts w:cs="Calibri"/>
                                <w:b/>
                                <w:bCs/>
                                <w:sz w:val="32"/>
                                <w:szCs w:val="21"/>
                              </w:rPr>
                            </w:pPr>
                            <w:r>
                              <w:rPr>
                                <w:rFonts w:hint="eastAsia" w:cs="Calibri"/>
                                <w:b/>
                                <w:bCs/>
                                <w:sz w:val="32"/>
                                <w:szCs w:val="21"/>
                              </w:rPr>
                              <w:t xml:space="preserve">制定</w:t>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cs="Calibri"/>
                          <w:b/>
                          <w:bCs/>
                          <w:sz w:val="32"/>
                          <w:szCs w:val="21"/>
                        </w:rPr>
                      </w:pPr>
                      <w:r>
                        <w:rPr>
                          <w:rFonts w:hint="eastAsia" w:cs="Calibri"/>
                          <w:b/>
                          <w:bCs/>
                          <w:sz w:val="32"/>
                          <w:szCs w:val="21"/>
                        </w:rPr>
                        <w:t xml:space="preserve">制定</w:t>
                      </w:r>
                      <w:r/>
                    </w:p>
                    <w:p>
                      <w:r/>
                      <w:r/>
                    </w:p>
                  </w:txbxContent>
                </v:textbox>
              </v:shape>
            </w:pict>
          </mc:Fallback>
        </mc:AlternateContent>
      </w:r>
      <w:r>
        <w:rPr>
          <w:rFonts w:hint="eastAsia" w:ascii="宋体" w:hAnsi="宋体" w:cs="宋体"/>
          <w:b/>
          <w:color w:val="000000" w:themeColor="text1"/>
          <w:sz w:val="32"/>
          <w:szCs w:val="28"/>
          <w:highlight w:val="none"/>
          <w14:textFill>
            <w14:solidFill>
              <w14:schemeClr w14:val="tx1"/>
            </w14:solidFill>
          </w14:textFill>
        </w:rPr>
        <w:t xml:space="preserve">              住房和城乡建设部</w:t>
      </w:r>
      <w:r/>
    </w:p>
    <w:p>
      <w:pPr>
        <w:ind w:right="2719"/>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32"/>
          <w:szCs w:val="28"/>
          <w:highlight w:val="none"/>
          <w14:textFill>
            <w14:solidFill>
              <w14:schemeClr w14:val="tx1"/>
            </w14:solidFill>
          </w14:textFill>
        </w:rPr>
        <w:t xml:space="preserve">              国家工商行政管理总局</w:t>
      </w:r>
      <w:bookmarkStart w:id="41" w:name="_Toc351203480"/>
      <w:r/>
      <w:bookmarkStart w:id="42" w:name="_Toc296503025"/>
      <w:r/>
      <w:bookmarkStart w:id="43" w:name="_Toc296890982"/>
      <w:r/>
      <w:r/>
    </w:p>
    <w:p>
      <w:pPr>
        <w:pStyle w:val="1100"/>
        <w:jc w:val="center"/>
        <w:spacing w:before="0" w:after="0"/>
        <w:rPr>
          <w:rFonts w:ascii="宋体" w:hAnsi="宋体" w:cs="宋体"/>
          <w:color w:val="000000" w:themeColor="text1"/>
          <w:sz w:val="30"/>
          <w:szCs w:val="30"/>
          <w:highlight w:val="none"/>
          <w14:textFill>
            <w14:solidFill>
              <w14:schemeClr w14:val="tx1"/>
            </w14:solidFill>
          </w14:textFill>
        </w:rPr>
        <w:sectPr>
          <w:footerReference w:type="default" r:id="rId18"/>
          <w:footnotePr/>
          <w:endnotePr/>
          <w:type w:val="nextPage"/>
          <w:pgSz w:w="11906" w:h="16838" w:orient="portrait"/>
          <w:pgMar w:top="1440" w:right="1800" w:bottom="1440" w:left="1800" w:header="851" w:footer="850" w:gutter="0"/>
          <w:pgNumType w:start="1"/>
          <w:rtlGutter/>
          <w:cols w:num="1" w:sep="0" w:space="720" w:equalWidth="1"/>
          <w:docGrid w:linePitch="360"/>
        </w:sectPr>
      </w:pPr>
      <w:r>
        <w:rPr>
          <w:rFonts w:ascii="宋体" w:hAnsi="宋体" w:cs="宋体"/>
          <w:color w:val="000000" w:themeColor="text1"/>
          <w:sz w:val="30"/>
          <w:szCs w:val="30"/>
          <w:highlight w:val="none"/>
          <w14:textFill>
            <w14:solidFill>
              <w14:schemeClr w14:val="tx1"/>
            </w14:solidFill>
          </w14:textFill>
        </w:rPr>
      </w:r>
      <w:r/>
    </w:p>
    <w:p>
      <w:pPr>
        <w:pStyle w:val="1100"/>
        <w:jc w:val="center"/>
        <w:spacing w:before="0" w:after="0"/>
        <w:rPr>
          <w:rFonts w:ascii="宋体" w:hAnsi="宋体" w:cs="宋体"/>
          <w:b w:val="0"/>
          <w:bCs w:val="0"/>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第一部分 合同协议书</w:t>
      </w:r>
      <w:bookmarkEnd w:id="41"/>
      <w:r/>
      <w:bookmarkEnd w:id="42"/>
      <w:r/>
      <w:bookmarkEnd w:id="43"/>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发包人（全称）：</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承包人（全称）：</w:t>
      </w:r>
      <w:r/>
    </w:p>
    <w:p>
      <w:pPr>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根据《中华人民共和国民法典》、《中华人民共和国建筑法》及有关法律规定，遵循平等、自愿、公平和诚实信用的原则，双方就</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及有关事项协商一致，共同达成如下协议：</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bookmarkStart w:id="44" w:name="_Toc351203481"/>
      <w:r>
        <w:rPr>
          <w:rFonts w:hint="eastAsia" w:ascii="宋体" w:hAnsi="宋体" w:cs="宋体"/>
          <w:color w:val="000000" w:themeColor="text1"/>
          <w:szCs w:val="21"/>
          <w:highlight w:val="none"/>
          <w14:textFill>
            <w14:solidFill>
              <w14:schemeClr w14:val="tx1"/>
            </w14:solidFill>
          </w14:textFill>
        </w:rPr>
        <w:t xml:space="preserve">一、工程概况</w:t>
      </w:r>
      <w:bookmarkEnd w:id="4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1.工程名称</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2.工程地点：</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3.工程立项批准文号：</w:t>
      </w:r>
      <w:r/>
    </w:p>
    <w:p>
      <w:pPr>
        <w:ind w:firstLine="4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4.资金来源：</w:t>
      </w:r>
      <w:r>
        <w:rPr>
          <w:rFonts w:hint="eastAsia" w:ascii="宋体" w:hAnsi="宋体" w:cs="宋体"/>
          <w:bCs/>
          <w:color w:val="000000" w:themeColor="text1"/>
          <w:szCs w:val="21"/>
          <w:highlight w:val="none"/>
          <w:u w:val="single"/>
          <w14:textFill>
            <w14:solidFill>
              <w14:schemeClr w14:val="tx1"/>
            </w14:solidFill>
          </w14:textFill>
        </w:rPr>
        <w:t xml:space="preserve">自筹</w:t>
      </w:r>
      <w:r/>
    </w:p>
    <w:p>
      <w:pPr>
        <w:ind w:left="2940" w:hanging="25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5.工程内容：</w:t>
      </w:r>
      <w:r/>
    </w:p>
    <w:p>
      <w:pPr>
        <w:ind w:firstLine="4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6工程承包范围：</w:t>
      </w:r>
      <w:r/>
    </w:p>
    <w:p>
      <w:pPr>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45" w:name="_Toc351203482"/>
      <w:r>
        <w:rPr>
          <w:rFonts w:hint="eastAsia" w:ascii="宋体" w:hAnsi="宋体" w:cs="宋体"/>
          <w:color w:val="000000" w:themeColor="text1"/>
          <w:szCs w:val="21"/>
          <w:highlight w:val="none"/>
          <w14:textFill>
            <w14:solidFill>
              <w14:schemeClr w14:val="tx1"/>
            </w14:solidFill>
          </w14:textFill>
        </w:rPr>
        <w:t xml:space="preserve">二、合同工期</w:t>
      </w:r>
      <w:bookmarkEnd w:id="45"/>
      <w:r/>
      <w:r/>
    </w:p>
    <w:p>
      <w:pPr>
        <w:ind w:firstLine="459"/>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计划开工日期：年月日（以开工令为准）。</w:t>
      </w:r>
      <w:r/>
    </w:p>
    <w:p>
      <w:pPr>
        <w:ind w:firstLine="459"/>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计划竣工日期：年月日。</w:t>
      </w:r>
      <w:r/>
    </w:p>
    <w:p>
      <w:pPr>
        <w:ind w:firstLine="459"/>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工期总日历天数：天。工期总日历天数与根据前述计划开竣工日期计算的工期天数不一致的，以工期总日历天数为准。</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bookmarkStart w:id="46" w:name="_Toc351203483"/>
      <w:r>
        <w:rPr>
          <w:rFonts w:hint="eastAsia" w:ascii="宋体" w:hAnsi="宋体" w:cs="宋体"/>
          <w:color w:val="000000" w:themeColor="text1"/>
          <w:szCs w:val="21"/>
          <w:highlight w:val="none"/>
          <w14:textFill>
            <w14:solidFill>
              <w14:schemeClr w14:val="tx1"/>
            </w14:solidFill>
          </w14:textFill>
        </w:rPr>
        <w:t xml:space="preserve">三、质量标准</w:t>
      </w:r>
      <w:bookmarkEnd w:id="46"/>
      <w:r/>
      <w:r/>
    </w:p>
    <w:p>
      <w:pPr>
        <w:ind w:firstLine="459"/>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工程质量符合  </w:t>
      </w:r>
      <w:r>
        <w:rPr>
          <w:rFonts w:hint="eastAsia" w:ascii="宋体" w:hAnsi="宋体" w:cs="宋体"/>
          <w:color w:val="000000" w:themeColor="text1"/>
          <w:szCs w:val="21"/>
          <w:highlight w:val="none"/>
          <w:u w:val="single"/>
          <w14:textFill>
            <w14:solidFill>
              <w14:schemeClr w14:val="tx1"/>
            </w14:solidFill>
          </w14:textFill>
        </w:rPr>
        <w:t xml:space="preserve">   合格    </w:t>
      </w:r>
      <w:r>
        <w:rPr>
          <w:rFonts w:hint="eastAsia" w:ascii="宋体" w:hAnsi="宋体" w:cs="宋体"/>
          <w:color w:val="000000" w:themeColor="text1"/>
          <w:szCs w:val="21"/>
          <w:highlight w:val="none"/>
          <w14:textFill>
            <w14:solidFill>
              <w14:schemeClr w14:val="tx1"/>
            </w14:solidFill>
          </w14:textFill>
        </w:rPr>
        <w:t xml:space="preserve"> 标准。</w:t>
      </w:r>
      <w:r/>
    </w:p>
    <w:p>
      <w:pPr>
        <w:ind w:firstLine="459"/>
        <w:spacing w:line="360" w:lineRule="auto"/>
        <w:rPr>
          <w:rFonts w:ascii="宋体" w:hAnsi="宋体" w:cs="宋体"/>
          <w:color w:val="000000" w:themeColor="text1"/>
          <w:szCs w:val="21"/>
          <w:highlight w:val="none"/>
          <w14:textFill>
            <w14:solidFill>
              <w14:schemeClr w14:val="tx1"/>
            </w14:solidFill>
          </w14:textFill>
        </w:rPr>
      </w:pPr>
      <w:r/>
      <w:bookmarkStart w:id="47" w:name="_Toc351203484"/>
      <w:r>
        <w:rPr>
          <w:rFonts w:hint="eastAsia" w:ascii="宋体" w:hAnsi="宋体" w:cs="宋体"/>
          <w:color w:val="000000" w:themeColor="text1"/>
          <w:szCs w:val="21"/>
          <w:highlight w:val="none"/>
          <w14:textFill>
            <w14:solidFill>
              <w14:schemeClr w14:val="tx1"/>
            </w14:solidFill>
          </w14:textFill>
        </w:rPr>
        <w:t xml:space="preserve">四、签约合同价与合同价格形式</w:t>
      </w:r>
      <w:bookmarkEnd w:id="47"/>
      <w:r>
        <w:rPr>
          <w:rFonts w:hint="eastAsia" w:ascii="宋体" w:hAnsi="宋体" w:cs="宋体"/>
          <w:color w:val="000000" w:themeColor="text1"/>
          <w:szCs w:val="21"/>
          <w:highlight w:val="none"/>
          <w14:textFill>
            <w14:solidFill>
              <w14:schemeClr w14:val="tx1"/>
            </w14:solidFill>
          </w14:textFill>
        </w:rPr>
        <w:tab/>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1.签约合同价为：</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 (¥元)；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其中：</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（1）安全文明施工费：</w:t>
      </w:r>
      <w:r/>
    </w:p>
    <w:p>
      <w:pPr>
        <w:ind w:firstLine="94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 (¥元)；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（2）材料和工程设备暂估价金额：</w:t>
      </w:r>
      <w:r/>
    </w:p>
    <w:p>
      <w:pPr>
        <w:ind w:firstLine="94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 (¥元)；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（3）专业工程暂估价金额：</w:t>
      </w:r>
      <w:r/>
    </w:p>
    <w:p>
      <w:pPr>
        <w:ind w:firstLine="94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 (¥元)；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（4）暂列金额：</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 (¥元)。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2.合同价格形式：</w:t>
      </w:r>
      <w:r>
        <w:rPr>
          <w:rFonts w:hint="eastAsia" w:ascii="宋体" w:hAnsi="宋体" w:cs="宋体"/>
          <w:color w:val="000000" w:themeColor="text1"/>
          <w:szCs w:val="21"/>
          <w:highlight w:val="none"/>
          <w:u w:val="single"/>
          <w14:textFill>
            <w14:solidFill>
              <w14:schemeClr w14:val="tx1"/>
            </w14:solidFill>
          </w14:textFill>
        </w:rPr>
        <w:t xml:space="preserve"> 固定单价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48" w:name="_Toc351203485"/>
      <w:r>
        <w:rPr>
          <w:rFonts w:hint="eastAsia" w:ascii="宋体" w:hAnsi="宋体" w:cs="宋体"/>
          <w:color w:val="000000" w:themeColor="text1"/>
          <w:szCs w:val="21"/>
          <w:highlight w:val="none"/>
          <w14:textFill>
            <w14:solidFill>
              <w14:schemeClr w14:val="tx1"/>
            </w14:solidFill>
          </w14:textFill>
        </w:rPr>
        <w:t xml:space="preserve">五、</w:t>
      </w:r>
      <w:bookmarkEnd w:id="48"/>
      <w:r>
        <w:rPr>
          <w:rFonts w:hint="eastAsia" w:ascii="宋体" w:hAnsi="宋体" w:cs="宋体"/>
          <w:color w:val="000000" w:themeColor="text1"/>
          <w:szCs w:val="21"/>
          <w:highlight w:val="none"/>
          <w14:textFill>
            <w14:solidFill>
              <w14:schemeClr w14:val="tx1"/>
            </w14:solidFill>
          </w14:textFill>
        </w:rPr>
        <w:t xml:space="preserve">项目经理</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承包人项目经理：</w:t>
      </w:r>
      <w:bookmarkStart w:id="49" w:name="_Toc351203486"/>
      <w:r/>
      <w:r/>
    </w:p>
    <w:p>
      <w:pPr>
        <w:ind w:firstLine="420"/>
        <w:jc w:val="left"/>
        <w:keepLines/>
        <w:keepNext/>
        <w:rPr>
          <w:rFonts w:ascii="宋体" w:hAnsi="宋体" w:cs="宋体"/>
          <w:b/>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六、合同文件构成</w:t>
      </w:r>
      <w:bookmarkEnd w:id="49"/>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本协议书与下列文件一起构成合同文件：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（1）中标通知书（如果有）；</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（2）投标函及其附录（如果有）；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（3）专用合同条款及其附件；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（4）通用合同条款；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（5）技术标准和要求；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（6）图纸；</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（7）已标价工程量清单或预算书；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（8）其他合同文件。</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bookmarkStart w:id="50" w:name="_Toc351203487"/>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七、承诺</w:t>
      </w:r>
      <w:bookmarkEnd w:id="50"/>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bookmarkStart w:id="51" w:name="_Toc351203488"/>
      <w:r>
        <w:rPr>
          <w:rFonts w:hint="eastAsia" w:ascii="宋体" w:hAnsi="宋体" w:cs="宋体"/>
          <w:color w:val="000000" w:themeColor="text1"/>
          <w:szCs w:val="21"/>
          <w:highlight w:val="none"/>
          <w14:textFill>
            <w14:solidFill>
              <w14:schemeClr w14:val="tx1"/>
            </w14:solidFill>
          </w14:textFill>
        </w:rPr>
        <w:t xml:space="preserve">    八、词语含义</w:t>
      </w:r>
      <w:bookmarkEnd w:id="51"/>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本协议书中词语含义与第二部分通用合同条款中赋予的含义相同。</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bookmarkStart w:id="52" w:name="_Toc351203489"/>
      <w:r>
        <w:rPr>
          <w:rFonts w:hint="eastAsia" w:ascii="宋体" w:hAnsi="宋体" w:cs="宋体"/>
          <w:color w:val="000000" w:themeColor="text1"/>
          <w:szCs w:val="21"/>
          <w:highlight w:val="none"/>
          <w14:textFill>
            <w14:solidFill>
              <w14:schemeClr w14:val="tx1"/>
            </w14:solidFill>
          </w14:textFill>
        </w:rPr>
        <w:t xml:space="preserve">九、签订时间</w:t>
      </w:r>
      <w:bookmarkEnd w:id="52"/>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本合同于年月日签订。</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bookmarkStart w:id="53" w:name="_Toc351203490"/>
      <w:r>
        <w:rPr>
          <w:rFonts w:hint="eastAsia" w:ascii="宋体" w:hAnsi="宋体" w:cs="宋体"/>
          <w:color w:val="000000" w:themeColor="text1"/>
          <w:szCs w:val="21"/>
          <w:highlight w:val="none"/>
          <w14:textFill>
            <w14:solidFill>
              <w14:schemeClr w14:val="tx1"/>
            </w14:solidFill>
          </w14:textFill>
        </w:rPr>
        <w:t xml:space="preserve">十、签订地点</w:t>
      </w:r>
      <w:bookmarkEnd w:id="53"/>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本合同在签订。</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bookmarkStart w:id="54" w:name="_Toc351203491"/>
      <w:r>
        <w:rPr>
          <w:rFonts w:hint="eastAsia" w:ascii="宋体" w:hAnsi="宋体" w:cs="宋体"/>
          <w:color w:val="000000" w:themeColor="text1"/>
          <w:szCs w:val="21"/>
          <w:highlight w:val="none"/>
          <w14:textFill>
            <w14:solidFill>
              <w14:schemeClr w14:val="tx1"/>
            </w14:solidFill>
          </w14:textFill>
        </w:rPr>
        <w:t xml:space="preserve">十一、补充协议</w:t>
      </w:r>
      <w:bookmarkEnd w:id="54"/>
      <w:r/>
      <w:r/>
    </w:p>
    <w:p>
      <w:pPr>
        <w:ind w:firstLine="420"/>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合同未尽事宜，合同当事人另行签订补充协议，补充协议是合同的组成部分。</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bookmarkStart w:id="55" w:name="_Toc351203492"/>
      <w:r>
        <w:rPr>
          <w:rFonts w:hint="eastAsia" w:ascii="宋体" w:hAnsi="宋体" w:cs="宋体"/>
          <w:color w:val="000000" w:themeColor="text1"/>
          <w:szCs w:val="21"/>
          <w:highlight w:val="none"/>
          <w14:textFill>
            <w14:solidFill>
              <w14:schemeClr w14:val="tx1"/>
            </w14:solidFill>
          </w14:textFill>
        </w:rPr>
        <w:t xml:space="preserve">十二、合同生效</w:t>
      </w:r>
      <w:bookmarkEnd w:id="55"/>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本合同</w:t>
      </w:r>
      <w:r>
        <w:rPr>
          <w:rFonts w:hint="eastAsia" w:ascii="宋体" w:hAnsi="宋体" w:cs="宋体"/>
          <w:bCs/>
          <w:color w:val="000000" w:themeColor="text1"/>
          <w:szCs w:val="21"/>
          <w:highlight w:val="none"/>
          <w:u w:val="single"/>
          <w14:textFill>
            <w14:solidFill>
              <w14:schemeClr w14:val="tx1"/>
            </w14:solidFill>
          </w14:textFill>
        </w:rPr>
        <w:t xml:space="preserve"> 经见证方盖章后 </w:t>
      </w:r>
      <w:r>
        <w:rPr>
          <w:rFonts w:hint="eastAsia" w:ascii="宋体" w:hAnsi="宋体" w:cs="宋体"/>
          <w:bCs/>
          <w:color w:val="000000" w:themeColor="text1"/>
          <w:szCs w:val="21"/>
          <w:highlight w:val="none"/>
          <w14:textFill>
            <w14:solidFill>
              <w14:schemeClr w14:val="tx1"/>
            </w14:solidFill>
          </w14:textFill>
        </w:rPr>
        <w:t xml:space="preserve">生效。</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bookmarkStart w:id="56" w:name="_Toc351203493"/>
      <w:r>
        <w:rPr>
          <w:rFonts w:hint="eastAsia" w:ascii="宋体" w:hAnsi="宋体" w:cs="宋体"/>
          <w:color w:val="000000" w:themeColor="text1"/>
          <w:szCs w:val="21"/>
          <w:highlight w:val="none"/>
          <w14:textFill>
            <w14:solidFill>
              <w14:schemeClr w14:val="tx1"/>
            </w14:solidFill>
          </w14:textFill>
        </w:rPr>
        <w:t xml:space="preserve">十三、合同份数</w:t>
      </w:r>
      <w:bookmarkEnd w:id="56"/>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本合同一式</w:t>
      </w:r>
      <w:r>
        <w:rPr>
          <w:rFonts w:hint="eastAsia" w:ascii="宋体" w:hAnsi="宋体" w:cs="宋体"/>
          <w:bCs/>
          <w:color w:val="000000" w:themeColor="text1"/>
          <w:szCs w:val="21"/>
          <w:highlight w:val="none"/>
          <w:u w:val="single"/>
          <w14:textFill>
            <w14:solidFill>
              <w14:schemeClr w14:val="tx1"/>
            </w14:solidFill>
          </w14:textFill>
        </w:rPr>
        <w:t xml:space="preserve"> 捌 </w:t>
      </w:r>
      <w:r>
        <w:rPr>
          <w:rFonts w:hint="eastAsia" w:ascii="宋体" w:hAnsi="宋体" w:cs="宋体"/>
          <w:bCs/>
          <w:color w:val="000000" w:themeColor="text1"/>
          <w:szCs w:val="21"/>
          <w:highlight w:val="none"/>
          <w14:textFill>
            <w14:solidFill>
              <w14:schemeClr w14:val="tx1"/>
            </w14:solidFill>
          </w14:textFill>
        </w:rPr>
        <w:t xml:space="preserve">份，均具有同等法律效力，发包人执</w:t>
      </w:r>
      <w:r>
        <w:rPr>
          <w:rFonts w:hint="eastAsia" w:ascii="宋体" w:hAnsi="宋体" w:cs="宋体"/>
          <w:bCs/>
          <w:color w:val="000000" w:themeColor="text1"/>
          <w:szCs w:val="21"/>
          <w:highlight w:val="none"/>
          <w:u w:val="single"/>
          <w14:textFill>
            <w14:solidFill>
              <w14:schemeClr w14:val="tx1"/>
            </w14:solidFill>
          </w14:textFill>
        </w:rPr>
        <w:t xml:space="preserve"> 叁 </w:t>
      </w:r>
      <w:r>
        <w:rPr>
          <w:rFonts w:hint="eastAsia" w:ascii="宋体" w:hAnsi="宋体" w:cs="宋体"/>
          <w:bCs/>
          <w:color w:val="000000" w:themeColor="text1"/>
          <w:szCs w:val="21"/>
          <w:highlight w:val="none"/>
          <w14:textFill>
            <w14:solidFill>
              <w14:schemeClr w14:val="tx1"/>
            </w14:solidFill>
          </w14:textFill>
        </w:rPr>
        <w:t xml:space="preserve">份，承包人执</w:t>
      </w:r>
      <w:r>
        <w:rPr>
          <w:rFonts w:hint="eastAsia" w:ascii="宋体" w:hAnsi="宋体" w:cs="宋体"/>
          <w:bCs/>
          <w:color w:val="000000" w:themeColor="text1"/>
          <w:szCs w:val="21"/>
          <w:highlight w:val="none"/>
          <w:u w:val="single"/>
          <w14:textFill>
            <w14:solidFill>
              <w14:schemeClr w14:val="tx1"/>
            </w14:solidFill>
          </w14:textFill>
        </w:rPr>
        <w:t xml:space="preserve"> 叁 </w:t>
      </w:r>
      <w:r>
        <w:rPr>
          <w:rFonts w:hint="eastAsia" w:ascii="宋体" w:hAnsi="宋体" w:cs="宋体"/>
          <w:bCs/>
          <w:color w:val="000000" w:themeColor="text1"/>
          <w:szCs w:val="21"/>
          <w:highlight w:val="none"/>
          <w14:textFill>
            <w14:solidFill>
              <w14:schemeClr w14:val="tx1"/>
            </w14:solidFill>
          </w14:textFill>
        </w:rPr>
        <w:t xml:space="preserve">份，见证方执</w:t>
      </w:r>
      <w:r>
        <w:rPr>
          <w:rFonts w:hint="eastAsia" w:ascii="宋体" w:hAnsi="宋体" w:cs="宋体"/>
          <w:bCs/>
          <w:color w:val="000000" w:themeColor="text1"/>
          <w:szCs w:val="21"/>
          <w:highlight w:val="none"/>
          <w:u w:val="single"/>
          <w14:textFill>
            <w14:solidFill>
              <w14:schemeClr w14:val="tx1"/>
            </w14:solidFill>
          </w14:textFill>
        </w:rPr>
        <w:t xml:space="preserve"> 贰 </w:t>
      </w:r>
      <w:r>
        <w:rPr>
          <w:rFonts w:hint="eastAsia" w:ascii="宋体" w:hAnsi="宋体" w:cs="宋体"/>
          <w:bCs/>
          <w:color w:val="000000" w:themeColor="text1"/>
          <w:szCs w:val="21"/>
          <w:highlight w:val="none"/>
          <w14:textFill>
            <w14:solidFill>
              <w14:schemeClr w14:val="tx1"/>
            </w14:solidFill>
          </w14:textFill>
        </w:rPr>
        <w:t xml:space="preserve">份。</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  (公章)                    承包人：  (公章)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                        法定代表人或</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其委托代理人： （签字或盖章）       其委托代理人：  （签字或盖章）  </w:t>
      </w:r>
      <w:r/>
    </w:p>
    <w:p>
      <w:pPr>
        <w:pStyle w:val="1094"/>
        <w:ind w:firstLine="630"/>
        <w:rPr>
          <w:color w:val="000000" w:themeColor="text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年   月   日                       年   月   日</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见证方：(公章)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其委托代理人： （签字或盖章）</w:t>
      </w:r>
      <w:r/>
    </w:p>
    <w:p>
      <w:pPr>
        <w:ind w:firstLine="630"/>
        <w:jc w:val="center"/>
        <w:spacing w:line="360" w:lineRule="auto"/>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日</w:t>
      </w:r>
      <w:r>
        <w:rPr>
          <w:rFonts w:hint="eastAsia" w:ascii="宋体" w:hAnsi="宋体" w:cs="宋体"/>
          <w:b/>
          <w:bCs/>
          <w:color w:val="000000" w:themeColor="text1"/>
          <w:sz w:val="32"/>
          <w:szCs w:val="32"/>
          <w:highlight w:val="none"/>
          <w14:textFill>
            <w14:solidFill>
              <w14:schemeClr w14:val="tx1"/>
            </w14:solidFill>
          </w14:textFill>
        </w:rPr>
        <w:br w:type="page" w:clear="all"/>
      </w:r>
      <w:bookmarkStart w:id="57" w:name="_Toc351203494"/>
      <w:r>
        <w:rPr>
          <w:rFonts w:hint="eastAsia" w:ascii="宋体" w:hAnsi="宋体" w:cs="宋体"/>
          <w:color w:val="000000" w:themeColor="text1"/>
          <w:sz w:val="30"/>
          <w:szCs w:val="30"/>
          <w:highlight w:val="none"/>
          <w14:textFill>
            <w14:solidFill>
              <w14:schemeClr w14:val="tx1"/>
            </w14:solidFill>
          </w14:textFill>
        </w:rPr>
        <w:t xml:space="preserve">第二部分 通用合同条款</w:t>
      </w:r>
      <w:bookmarkEnd w:id="57"/>
      <w:r/>
      <w:bookmarkStart w:id="58" w:name="_Toc337558727"/>
      <w:r>
        <w:rPr>
          <w:rFonts w:hint="eastAsia" w:ascii="宋体" w:hAnsi="宋体" w:cs="宋体"/>
          <w:color w:val="000000" w:themeColor="text1"/>
          <w:sz w:val="30"/>
          <w:szCs w:val="30"/>
          <w:highlight w:val="none"/>
          <w14:textFill>
            <w14:solidFill>
              <w14:schemeClr w14:val="tx1"/>
            </w14:solidFill>
          </w14:textFill>
        </w:rPr>
        <w:t xml:space="preserve">（略）</w:t>
      </w:r>
      <w:bookmarkEnd w:id="58"/>
      <w:r/>
      <w:r/>
    </w:p>
    <w:p>
      <w:pPr>
        <w:jc w:val="center"/>
        <w:keepLines/>
        <w:keepNext/>
        <w:spacing w:before="260" w:after="260" w:line="416" w:lineRule="auto"/>
        <w:rPr>
          <w:rFonts w:ascii="宋体" w:hAnsi="宋体" w:cs="宋体"/>
          <w:color w:val="000000" w:themeColor="text1"/>
          <w:sz w:val="24"/>
          <w:szCs w:val="24"/>
          <w:highlight w:val="none"/>
          <w14:textFill>
            <w14:solidFill>
              <w14:schemeClr w14:val="tx1"/>
            </w14:solidFill>
          </w14:textFill>
        </w:rPr>
        <w:outlineLvl w:val="2"/>
      </w:pPr>
      <w:r/>
      <w:bookmarkStart w:id="59" w:name="_Toc351203632"/>
      <w:r>
        <w:rPr>
          <w:rFonts w:hint="eastAsia" w:ascii="宋体" w:hAnsi="宋体" w:cs="宋体"/>
          <w:color w:val="000000" w:themeColor="text1"/>
          <w:sz w:val="24"/>
          <w:szCs w:val="24"/>
          <w:highlight w:val="none"/>
          <w14:textFill>
            <w14:solidFill>
              <w14:schemeClr w14:val="tx1"/>
            </w14:solidFill>
          </w14:textFill>
        </w:rPr>
        <w:t xml:space="preserve">详见建设工程施工合同示范文本（GF—2017—0201）</w:t>
      </w:r>
      <w:r/>
    </w:p>
    <w:p>
      <w:pPr>
        <w:jc w:val="center"/>
        <w:keepLines/>
        <w:keepNext/>
        <w:spacing w:before="260" w:after="260" w:line="416" w:lineRule="auto"/>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spacing w:before="260" w:after="260" w:line="416" w:lineRule="auto"/>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spacing w:before="260" w:after="260" w:line="416" w:lineRule="auto"/>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spacing w:before="260" w:after="260" w:line="416" w:lineRule="auto"/>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pStyle w:val="1101"/>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pStyle w:val="1101"/>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pStyle w:val="1101"/>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pStyle w:val="1101"/>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jc w:val="center"/>
        <w:keepLines/>
        <w:keepNext/>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jc w:val="center"/>
        <w:keepLines/>
        <w:keepNext/>
        <w:rPr>
          <w:rFonts w:ascii="宋体" w:hAnsi="宋体" w:cs="宋体"/>
          <w:color w:val="000000" w:themeColor="text1"/>
          <w:sz w:val="30"/>
          <w:szCs w:val="30"/>
          <w:highlight w:val="none"/>
          <w14:textFill>
            <w14:solidFill>
              <w14:schemeClr w14:val="tx1"/>
            </w14:solidFill>
          </w14:textFill>
        </w:rPr>
        <w:outlineLvl w:val="2"/>
      </w:pPr>
      <w:r>
        <w:rPr>
          <w:rFonts w:hint="eastAsia" w:ascii="宋体" w:hAnsi="宋体" w:cs="宋体"/>
          <w:color w:val="000000" w:themeColor="text1"/>
          <w:sz w:val="30"/>
          <w:szCs w:val="30"/>
          <w:highlight w:val="none"/>
          <w14:textFill>
            <w14:solidFill>
              <w14:schemeClr w14:val="tx1"/>
            </w14:solidFill>
          </w14:textFill>
        </w:rPr>
        <w:t xml:space="preserve">第三部分 专用合同条款</w:t>
      </w:r>
      <w:bookmarkEnd w:id="59"/>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60" w:name="_Toc351203633"/>
      <w:r>
        <w:rPr>
          <w:rFonts w:hint="eastAsia" w:ascii="宋体" w:hAnsi="宋体" w:cs="宋体"/>
          <w:color w:val="000000" w:themeColor="text1"/>
          <w:szCs w:val="21"/>
          <w:highlight w:val="none"/>
          <w14:textFill>
            <w14:solidFill>
              <w14:schemeClr w14:val="tx1"/>
            </w14:solidFill>
          </w14:textFill>
        </w:rPr>
        <w:t xml:space="preserve">1</w:t>
      </w:r>
      <w:bookmarkStart w:id="61" w:name="_Toc297048342"/>
      <w:r/>
      <w:bookmarkStart w:id="62" w:name="_Toc296890984"/>
      <w:r/>
      <w:bookmarkStart w:id="63" w:name="_Toc292559361"/>
      <w:r/>
      <w:bookmarkStart w:id="64" w:name="_Toc296944495"/>
      <w:r/>
      <w:bookmarkStart w:id="65" w:name="_Toc296891196"/>
      <w:r/>
      <w:bookmarkStart w:id="66" w:name="_Toc296503156"/>
      <w:r/>
      <w:bookmarkStart w:id="67" w:name="_Toc296347155"/>
      <w:r/>
      <w:bookmarkStart w:id="68" w:name="_Toc296346657"/>
      <w:r/>
      <w:bookmarkStart w:id="69" w:name="_Toc297120456"/>
      <w:r/>
      <w:bookmarkStart w:id="70" w:name="_Toc292559866"/>
      <w:r>
        <w:rPr>
          <w:rFonts w:hint="eastAsia" w:ascii="宋体" w:hAnsi="宋体" w:cs="宋体"/>
          <w:color w:val="000000" w:themeColor="text1"/>
          <w:szCs w:val="21"/>
          <w:highlight w:val="none"/>
          <w14:textFill>
            <w14:solidFill>
              <w14:schemeClr w14:val="tx1"/>
            </w14:solidFill>
          </w14:textFill>
        </w:rPr>
        <w:t xml:space="preserve">. 一般约定</w:t>
      </w:r>
      <w:bookmarkEnd w:id="60"/>
      <w:r/>
      <w:bookmarkEnd w:id="61"/>
      <w:r/>
      <w:bookmarkEnd w:id="62"/>
      <w:r/>
      <w:bookmarkEnd w:id="63"/>
      <w:r/>
      <w:bookmarkEnd w:id="64"/>
      <w:r/>
      <w:bookmarkEnd w:id="65"/>
      <w:r/>
      <w:bookmarkEnd w:id="66"/>
      <w:r/>
      <w:bookmarkEnd w:id="67"/>
      <w:r/>
      <w:bookmarkEnd w:id="68"/>
      <w:r/>
      <w:bookmarkEnd w:id="69"/>
      <w:r/>
      <w:bookmarkEnd w:id="70"/>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词语定义</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1.1.1合同</w:t>
      </w:r>
      <w:r/>
    </w:p>
    <w:p>
      <w:pPr>
        <w:ind w:firstLine="420"/>
        <w:jc w:val="left"/>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1.1.1.10 其他合同文件包括：</w:t>
      </w:r>
      <w:r>
        <w:rPr>
          <w:rFonts w:hint="eastAsia" w:ascii="宋体" w:hAnsi="宋体" w:cs="宋体"/>
          <w:color w:val="000000" w:themeColor="text1"/>
          <w:szCs w:val="21"/>
          <w:highlight w:val="none"/>
          <w:u w:val="single"/>
          <w14:textFill>
            <w14:solidFill>
              <w14:schemeClr w14:val="tx1"/>
            </w14:solidFill>
          </w14:textFill>
        </w:rPr>
        <w:t xml:space="preserve">本合同协议书、 通用条款、专用条款、中标通知书、招标文件及其附件、投标文件及其附件、双方确认的工程量清单及报价、标准、规范及有关技术文件、施工图纸等。</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 合同当事人及其他相关方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1.1.2.4 监理人：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资质类别和等级：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1.1.2.5 设计人：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资质类别和等级：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 工程和设备</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1.1.3.7 作为施工现场组成部分的其他场所包括：</w:t>
      </w:r>
      <w:r>
        <w:rPr>
          <w:rFonts w:hint="eastAsia" w:ascii="宋体" w:hAnsi="宋体" w:cs="宋体"/>
          <w:color w:val="000000" w:themeColor="text1"/>
          <w:szCs w:val="21"/>
          <w:highlight w:val="none"/>
          <w:u w:val="single"/>
          <w14:textFill>
            <w14:solidFill>
              <w14:schemeClr w14:val="tx1"/>
            </w14:solidFill>
          </w14:textFill>
        </w:rPr>
        <w:t xml:space="preserve">发包人、监理、跟踪审计等非施工方办公、生活区域等。</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1.1.3.9 永久占地包括：</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1.1.3.10 临时占地包括：</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 法律 </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适用于合同的其他规范性文件：</w:t>
      </w:r>
      <w:r>
        <w:rPr>
          <w:rFonts w:hint="eastAsia" w:ascii="宋体" w:hAnsi="宋体" w:cs="宋体"/>
          <w:bCs/>
          <w:color w:val="000000" w:themeColor="text1"/>
          <w:szCs w:val="21"/>
          <w:highlight w:val="none"/>
          <w:u w:val="single"/>
          <w14:textFill>
            <w14:solidFill>
              <w14:schemeClr w14:val="tx1"/>
            </w14:solidFill>
          </w14:textFill>
        </w:rPr>
        <w:t xml:space="preserve">《中华人民共和国民法典》、《中华人民共和国建筑法》、《建设工程质量管理条例》、《工程建设标准强制性条文》、国家现行的施工、验收规范及扬州现行质量、安全生产管理条例等。</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 标准和规范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 适用于工程的标准规范包括：</w:t>
      </w:r>
      <w:r>
        <w:rPr>
          <w:rFonts w:hint="eastAsia" w:ascii="宋体" w:hAnsi="宋体" w:cs="宋体"/>
          <w:color w:val="000000" w:themeColor="text1"/>
          <w:spacing w:val="-7"/>
          <w:szCs w:val="21"/>
          <w:highlight w:val="none"/>
          <w:u w:val="single"/>
          <w14:textFill>
            <w14:solidFill>
              <w14:schemeClr w14:val="tx1"/>
            </w14:solidFill>
          </w14:textFill>
        </w:rPr>
        <w:t xml:space="preserve">国家现行标准、规范，与工程相关的现行</w:t>
      </w:r>
      <w:r>
        <w:rPr>
          <w:rFonts w:hint="eastAsia" w:ascii="宋体" w:hAnsi="宋体" w:cs="宋体"/>
          <w:color w:val="000000" w:themeColor="text1"/>
          <w:spacing w:val="-2"/>
          <w:szCs w:val="21"/>
          <w:highlight w:val="none"/>
          <w:u w:val="single"/>
          <w14:textFill>
            <w14:solidFill>
              <w14:schemeClr w14:val="tx1"/>
            </w14:solidFill>
          </w14:textFill>
        </w:rPr>
        <w:t xml:space="preserve">图集、施工说明，江苏省、扬州市现行标准、规范。</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 发包人提供国外标准、规范的名称: </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发包人提供国外标准、规范的份数：</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发包人提供国外标准、规范的名称：</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 发包人对工程的技术标准和功能要求的特殊要求：</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 合同文件的优先顺序</w:t>
      </w:r>
      <w:r/>
    </w:p>
    <w:p>
      <w:pPr>
        <w:ind w:firstLine="420"/>
        <w:jc w:val="left"/>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合同文件组成及优先顺序为：</w:t>
      </w:r>
      <w:r>
        <w:rPr>
          <w:rFonts w:hint="eastAsia" w:ascii="宋体" w:hAnsi="宋体" w:cs="宋体"/>
          <w:bCs/>
          <w:color w:val="000000" w:themeColor="text1"/>
          <w:szCs w:val="21"/>
          <w:highlight w:val="none"/>
          <w:u w:val="single"/>
          <w14:textFill>
            <w14:solidFill>
              <w14:schemeClr w14:val="tx1"/>
            </w14:solidFill>
          </w14:textFill>
        </w:rPr>
        <w:t xml:space="preserve">（1）本合同协议书；（2）中标通知书；（3）招标文件及其附件；（4）投标文件及其附件；（5）本合同专用条款；（6）本合同通用条款；（7）标准、规范及有关技术文件；（8）施工图纸。</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 图纸和承包人文件</w:t>
      </w:r>
      <w:r>
        <w:rPr>
          <w:rFonts w:hint="eastAsia" w:ascii="宋体" w:hAnsi="宋体" w:cs="宋体"/>
          <w:color w:val="000000" w:themeColor="text1"/>
          <w:szCs w:val="21"/>
          <w:highlight w:val="none"/>
          <w14:textFill>
            <w14:solidFill>
              <w14:schemeClr w14:val="tx1"/>
            </w14:solidFill>
          </w14:textFill>
        </w:rPr>
        <w:tab/>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 图纸的提供</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发包人向承包人提供图纸的期限：</w:t>
      </w:r>
      <w:r>
        <w:rPr>
          <w:rFonts w:hint="eastAsia" w:ascii="宋体" w:hAnsi="宋体" w:cs="宋体"/>
          <w:bCs/>
          <w:color w:val="000000" w:themeColor="text1"/>
          <w:szCs w:val="21"/>
          <w:highlight w:val="none"/>
          <w:u w:val="single"/>
          <w14:textFill>
            <w14:solidFill>
              <w14:schemeClr w14:val="tx1"/>
            </w14:solidFill>
          </w14:textFill>
        </w:rPr>
        <w:t xml:space="preserve">签订合同后叁天内提供；</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发包人向承包人提供图纸的数量：</w:t>
      </w:r>
      <w:r>
        <w:rPr>
          <w:rFonts w:hint="eastAsia" w:ascii="宋体" w:hAnsi="宋体" w:cs="宋体"/>
          <w:bCs/>
          <w:color w:val="000000" w:themeColor="text1"/>
          <w:szCs w:val="21"/>
          <w:highlight w:val="none"/>
          <w:u w:val="single"/>
          <w14:textFill>
            <w14:solidFill>
              <w14:schemeClr w14:val="tx1"/>
            </w14:solidFill>
          </w14:textFill>
        </w:rPr>
        <w:t xml:space="preserve">免费提供承包人3套，承包人需要更多复印件时，应自行解决，费用自理；</w:t>
      </w:r>
      <w:r/>
    </w:p>
    <w:p>
      <w:pPr>
        <w:pStyle w:val="1102"/>
        <w:ind w:firstLine="420"/>
        <w:spacing w:line="360" w:lineRule="auto"/>
        <w:rPr>
          <w:rFonts w:hAnsi="宋体" w:cs="宋体"/>
          <w:bCs/>
          <w:color w:val="000000" w:themeColor="text1"/>
          <w:sz w:val="21"/>
          <w:szCs w:val="21"/>
          <w:highlight w:val="none"/>
          <w:u w:val="single"/>
          <w14:textFill>
            <w14:solidFill>
              <w14:schemeClr w14:val="tx1"/>
            </w14:solidFill>
          </w14:textFill>
        </w:rPr>
        <w:outlineLvl w:val="0"/>
      </w:pPr>
      <w:r/>
      <w:bookmarkStart w:id="71" w:name="_Toc5817"/>
      <w:r/>
      <w:bookmarkStart w:id="72" w:name="_Toc28220"/>
      <w:r>
        <w:rPr>
          <w:rFonts w:hint="eastAsia" w:hAnsi="宋体" w:cs="宋体"/>
          <w:color w:val="000000" w:themeColor="text1"/>
          <w:sz w:val="21"/>
          <w:szCs w:val="21"/>
          <w:highlight w:val="none"/>
          <w14:textFill>
            <w14:solidFill>
              <w14:schemeClr w14:val="tx1"/>
            </w14:solidFill>
          </w14:textFill>
        </w:rPr>
        <w:t xml:space="preserve">发包人向承包人提供图纸的内容：</w:t>
      </w:r>
      <w:r>
        <w:rPr>
          <w:rFonts w:hint="eastAsia" w:hAnsi="宋体" w:cs="宋体"/>
          <w:bCs/>
          <w:color w:val="000000" w:themeColor="text1"/>
          <w:sz w:val="21"/>
          <w:szCs w:val="21"/>
          <w:highlight w:val="none"/>
          <w:u w:val="single"/>
          <w14:textFill>
            <w14:solidFill>
              <w14:schemeClr w14:val="tx1"/>
            </w14:solidFill>
          </w14:textFill>
        </w:rPr>
        <w:t xml:space="preserve">全套施工及相应配套图纸。</w:t>
      </w:r>
      <w:bookmarkEnd w:id="71"/>
      <w:r/>
      <w:bookmarkEnd w:id="7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 承包人文件</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需要由承包人提供的文件，包括：</w:t>
      </w:r>
      <w:r>
        <w:rPr>
          <w:rFonts w:hint="eastAsia" w:ascii="宋体" w:hAnsi="宋体" w:cs="宋体"/>
          <w:bCs/>
          <w:color w:val="000000" w:themeColor="text1"/>
          <w:szCs w:val="21"/>
          <w:highlight w:val="none"/>
          <w:u w:val="single"/>
          <w14:textFill>
            <w14:solidFill>
              <w14:schemeClr w14:val="tx1"/>
            </w14:solidFill>
          </w14:textFill>
        </w:rPr>
        <w:t xml:space="preserve">项目管理部成员表、已标价的工程量清单、施工组织设计（施工管理、质量管理、安全管理、文明施工组织网络）、专项施工方案、工程进度计划、已完成工程量月报表、竣工图、竣工结算</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承包人提供的文件的期限为：</w:t>
      </w:r>
      <w:r>
        <w:rPr>
          <w:rFonts w:hint="eastAsia" w:ascii="宋体" w:hAnsi="宋体" w:cs="宋体"/>
          <w:bCs/>
          <w:color w:val="000000" w:themeColor="text1"/>
          <w:szCs w:val="21"/>
          <w:highlight w:val="none"/>
          <w:u w:val="single"/>
          <w14:textFill>
            <w14:solidFill>
              <w14:schemeClr w14:val="tx1"/>
            </w14:solidFill>
          </w14:textFill>
        </w:rPr>
        <w:t xml:space="preserve">承包人在开工前提交工程施工总进度计划，并应当按照发包人要求向工程师提供当月工程进度统计表和下月计划，每周向工程师提供周计划</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承包人提供的文件的数量为：</w:t>
      </w:r>
      <w:r>
        <w:rPr>
          <w:rFonts w:hint="eastAsia" w:ascii="宋体" w:hAnsi="宋体" w:cs="宋体"/>
          <w:bCs/>
          <w:color w:val="000000" w:themeColor="text1"/>
          <w:szCs w:val="21"/>
          <w:highlight w:val="none"/>
          <w:u w:val="single"/>
          <w14:textFill>
            <w14:solidFill>
              <w14:schemeClr w14:val="tx1"/>
            </w14:solidFill>
          </w14:textFill>
        </w:rPr>
        <w:t xml:space="preserve">五份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承包人提供的文件的形式为：</w:t>
      </w:r>
      <w:r>
        <w:rPr>
          <w:rFonts w:hint="eastAsia" w:ascii="宋体" w:hAnsi="宋体" w:cs="宋体"/>
          <w:bCs/>
          <w:color w:val="000000" w:themeColor="text1"/>
          <w:szCs w:val="21"/>
          <w:highlight w:val="none"/>
          <w:u w:val="single"/>
          <w14:textFill>
            <w14:solidFill>
              <w14:schemeClr w14:val="tx1"/>
            </w14:solidFill>
          </w14:textFill>
        </w:rPr>
        <w:t xml:space="preserve">书面及电子版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发包人审批承包人文件的期限：</w:t>
      </w:r>
      <w:r>
        <w:rPr>
          <w:rFonts w:hint="eastAsia" w:ascii="宋体" w:hAnsi="宋体" w:cs="宋体"/>
          <w:color w:val="000000" w:themeColor="text1"/>
          <w:szCs w:val="21"/>
          <w:highlight w:val="none"/>
          <w:u w:val="single"/>
          <w14:textFill>
            <w14:solidFill>
              <w14:schemeClr w14:val="tx1"/>
            </w14:solidFill>
          </w14:textFill>
        </w:rPr>
        <w:t xml:space="preserve">    7天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1.6.5 现场图纸准备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关于现场图纸准备的约定：</w:t>
      </w:r>
      <w:r>
        <w:rPr>
          <w:rFonts w:hint="eastAsia" w:ascii="宋体" w:hAnsi="宋体" w:cs="宋体"/>
          <w:bCs/>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 联络</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1.7.1发包人和承包人应当在</w:t>
      </w:r>
      <w:r>
        <w:rPr>
          <w:rFonts w:hint="eastAsia" w:ascii="宋体" w:hAnsi="宋体" w:cs="宋体"/>
          <w:color w:val="000000" w:themeColor="text1"/>
          <w:szCs w:val="21"/>
          <w:highlight w:val="none"/>
          <w:u w:val="singl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 发包人接收文件的地点：</w:t>
      </w:r>
      <w:r>
        <w:rPr>
          <w:rFonts w:hint="eastAsia" w:ascii="宋体" w:hAnsi="宋体" w:cs="宋体"/>
          <w:color w:val="000000" w:themeColor="text1"/>
          <w:szCs w:val="21"/>
          <w:highlight w:val="none"/>
          <w:u w:val="single"/>
          <w14:textFill>
            <w14:solidFill>
              <w14:schemeClr w14:val="tx1"/>
            </w14:solidFill>
          </w14:textFill>
        </w:rPr>
        <w:t xml:space="preserve">工地现场办公室</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发包人指定的接收人为：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承包人接收文件的地点：</w:t>
      </w:r>
      <w:r>
        <w:rPr>
          <w:rFonts w:hint="eastAsia" w:ascii="宋体" w:hAnsi="宋体" w:cs="宋体"/>
          <w:color w:val="000000" w:themeColor="text1"/>
          <w:szCs w:val="21"/>
          <w:highlight w:val="none"/>
          <w:u w:val="single"/>
          <w14:textFill>
            <w14:solidFill>
              <w14:schemeClr w14:val="tx1"/>
            </w14:solidFill>
          </w14:textFill>
        </w:rPr>
        <w:t xml:space="preserve">施工现场承包人办公室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承包人指定的接收人为：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监理人接收文件的地点：</w:t>
      </w:r>
      <w:r>
        <w:rPr>
          <w:rFonts w:hint="eastAsia" w:ascii="宋体" w:hAnsi="宋体" w:cs="宋体"/>
          <w:color w:val="000000" w:themeColor="text1"/>
          <w:szCs w:val="21"/>
          <w:highlight w:val="none"/>
          <w:u w:val="single"/>
          <w14:textFill>
            <w14:solidFill>
              <w14:schemeClr w14:val="tx1"/>
            </w14:solidFill>
          </w14:textFill>
        </w:rPr>
        <w:t xml:space="preserve">施工工地现场办公室</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监理人指定的接收人为：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 交通运输</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73" w:name="_Toc300934943"/>
      <w:r/>
      <w:bookmarkStart w:id="74" w:name="_Toc318581155"/>
      <w:r/>
      <w:bookmarkStart w:id="75" w:name="_Toc312677986"/>
      <w:r/>
      <w:bookmarkStart w:id="76" w:name="_Toc304295521"/>
      <w:r/>
      <w:bookmarkStart w:id="77" w:name="_Toc303539100"/>
      <w:r>
        <w:rPr>
          <w:rFonts w:hint="eastAsia" w:ascii="宋体" w:hAnsi="宋体" w:cs="宋体"/>
          <w:color w:val="000000" w:themeColor="text1"/>
          <w:szCs w:val="21"/>
          <w:highlight w:val="none"/>
          <w14:textFill>
            <w14:solidFill>
              <w14:schemeClr w14:val="tx1"/>
            </w14:solidFill>
          </w14:textFill>
        </w:rPr>
        <w:t xml:space="preserve">.10.1 出入现场的权利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关于出入现场的权利的约定：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bookmarkEnd w:id="73"/>
      <w:r/>
      <w:bookmarkEnd w:id="74"/>
      <w:r/>
      <w:bookmarkEnd w:id="75"/>
      <w:r/>
      <w:bookmarkEnd w:id="76"/>
      <w:r/>
      <w:bookmarkEnd w:id="77"/>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78" w:name="_Toc312677987"/>
      <w:r/>
      <w:bookmarkStart w:id="79" w:name="_Toc300934944"/>
      <w:r/>
      <w:bookmarkStart w:id="80" w:name="_Toc318581156"/>
      <w:r/>
      <w:bookmarkStart w:id="81" w:name="_Toc304295522"/>
      <w:r/>
      <w:bookmarkStart w:id="82" w:name="_Toc303539101"/>
      <w:r>
        <w:rPr>
          <w:rFonts w:hint="eastAsia" w:ascii="宋体" w:hAnsi="宋体" w:cs="宋体"/>
          <w:color w:val="000000" w:themeColor="text1"/>
          <w:szCs w:val="21"/>
          <w:highlight w:val="none"/>
          <w14:textFill>
            <w14:solidFill>
              <w14:schemeClr w14:val="tx1"/>
            </w14:solidFill>
          </w14:textFill>
        </w:rPr>
        <w:t xml:space="preserve">.10.3 场内交通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关于场外交通和场内交通的边界的约定：</w:t>
      </w:r>
      <w:r>
        <w:rPr>
          <w:rFonts w:hint="eastAsia" w:ascii="宋体" w:hAnsi="宋体" w:cs="宋体"/>
          <w:color w:val="000000" w:themeColor="text1"/>
          <w:szCs w:val="21"/>
          <w:highlight w:val="none"/>
          <w:u w:val="single"/>
          <w14:textFill>
            <w14:solidFill>
              <w14:schemeClr w14:val="tx1"/>
            </w14:solidFill>
          </w14:textFill>
        </w:rPr>
        <w:t xml:space="preserve">  规划红线图   </w:t>
      </w:r>
      <w:bookmarkEnd w:id="78"/>
      <w:r/>
      <w:bookmarkEnd w:id="79"/>
      <w:r/>
      <w:bookmarkEnd w:id="80"/>
      <w:r/>
      <w:bookmarkEnd w:id="81"/>
      <w:r/>
      <w:bookmarkEnd w:id="82"/>
      <w:r/>
      <w:bookmarkStart w:id="83" w:name="_Toc318581157"/>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关于发包人向承包人免费提供满足工程施工需要的场内道路和交通设施的约定：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1.10.4 超大件和超重件的运输</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Cs w:val="21"/>
          <w:highlight w:val="none"/>
          <w:u w:val="single"/>
          <w14:textFill>
            <w14:solidFill>
              <w14:schemeClr w14:val="tx1"/>
            </w14:solidFill>
          </w14:textFill>
        </w:rPr>
        <w:t xml:space="preserve">承包人</w:t>
      </w:r>
      <w:r>
        <w:rPr>
          <w:rFonts w:hint="eastAsia" w:ascii="宋体" w:hAnsi="宋体" w:cs="宋体"/>
          <w:color w:val="000000" w:themeColor="text1"/>
          <w:szCs w:val="21"/>
          <w:highlight w:val="none"/>
          <w14:textFill>
            <w14:solidFill>
              <w14:schemeClr w14:val="tx1"/>
            </w14:solidFill>
          </w14:textFill>
        </w:rPr>
        <w:t xml:space="preserve">承担。</w:t>
      </w:r>
      <w:bookmarkEnd w:id="83"/>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 知识产权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关于发包人提供的上述文件的使用限制的要求：</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1.11.2 关于承包人为实施工程所编制文件的著作权的归属：</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关于承包人提供的上述文件使用限制的要求</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Cs w:val="21"/>
          <w:highlight w:val="none"/>
          <w:u w:val="single"/>
          <w14:textFill>
            <w14:solidFill>
              <w14:schemeClr w14:val="tx1"/>
            </w14:solidFill>
          </w14:textFill>
        </w:rPr>
        <w:t xml:space="preserve">   已含在报价内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 工程量清单错误的修正</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出现工程量清单错误时，是否调整合同价格：</w:t>
      </w:r>
      <w:r>
        <w:rPr>
          <w:rFonts w:hint="eastAsia" w:ascii="宋体" w:hAnsi="宋体" w:cs="宋体"/>
          <w:color w:val="000000" w:themeColor="text1"/>
          <w:szCs w:val="21"/>
          <w:highlight w:val="none"/>
          <w:u w:val="single"/>
          <w14:textFill>
            <w14:solidFill>
              <w14:schemeClr w14:val="tx1"/>
            </w14:solidFill>
          </w14:textFill>
        </w:rPr>
        <w:t xml:space="preserve"> 出现下列情形之一时，发包人应予以修正，并相应调整合同价格：</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84" w:name="_Toc351203634"/>
      <w:r>
        <w:rPr>
          <w:rFonts w:hint="eastAsia" w:ascii="宋体" w:hAnsi="宋体" w:cs="宋体"/>
          <w:color w:val="000000" w:themeColor="text1"/>
          <w:szCs w:val="21"/>
          <w:highlight w:val="none"/>
          <w14:textFill>
            <w14:solidFill>
              <w14:schemeClr w14:val="tx1"/>
            </w14:solidFill>
          </w14:textFill>
        </w:rPr>
        <w:t xml:space="preserve">（1）工程量清单存在缺项、漏项的；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（2）工程量清单偏差超出专用合同条款约定的工程量偏差范围的；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（3）未按照国家现行计量规范强制性规定计量的。</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允许调整合同价格的工程量偏差范围：合同履行期间，因非承包人原因引起分部分项工程量增减，当工程量清单项目工程量的变化幅度超过 15%。综合单价可进行调整。调整原则：由承包人根据工程资料、计量规则和计价办法、工程造价管理机构发布的信息价格和承包人报价浮动率提出变更工程项目的单价，并报监理、跟踪审计和发包人确认后调整，承包人报价浮动率＝【1-(中标价-暂估价-暂列金额)/(招标控制价-暂估价-暂列金额)】*100%，工程造价管理机构发布的信息价格缺项的，应通过市场调查等取得有合法依据的市扬价格。</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2</w:t>
      </w:r>
      <w:bookmarkStart w:id="85" w:name="_Toc297120457"/>
      <w:r/>
      <w:bookmarkStart w:id="86" w:name="_Toc292559867"/>
      <w:r/>
      <w:bookmarkStart w:id="87" w:name="_Toc296346658"/>
      <w:r/>
      <w:bookmarkStart w:id="88" w:name="_Toc296503157"/>
      <w:r/>
      <w:bookmarkStart w:id="89" w:name="_Toc296890985"/>
      <w:r/>
      <w:bookmarkStart w:id="90" w:name="_Toc296347156"/>
      <w:r/>
      <w:bookmarkStart w:id="91" w:name="_Toc297048343"/>
      <w:r/>
      <w:bookmarkStart w:id="92" w:name="_Toc292559362"/>
      <w:r/>
      <w:bookmarkStart w:id="93" w:name="_Toc296944496"/>
      <w:r/>
      <w:bookmarkStart w:id="94" w:name="_Toc296891197"/>
      <w:r>
        <w:rPr>
          <w:rFonts w:hint="eastAsia" w:ascii="宋体" w:hAnsi="宋体" w:cs="宋体"/>
          <w:color w:val="000000" w:themeColor="text1"/>
          <w:szCs w:val="21"/>
          <w:highlight w:val="none"/>
          <w14:textFill>
            <w14:solidFill>
              <w14:schemeClr w14:val="tx1"/>
            </w14:solidFill>
          </w14:textFill>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 发包人代表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发包人代表：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    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发包人对发包人代表的授权范围如下：</w:t>
      </w:r>
      <w:r>
        <w:rPr>
          <w:rFonts w:hint="eastAsia" w:ascii="宋体" w:hAnsi="宋体" w:cs="宋体"/>
          <w:color w:val="000000" w:themeColor="text1"/>
          <w:szCs w:val="21"/>
          <w:highlight w:val="none"/>
          <w:u w:val="single"/>
          <w14:textFill>
            <w14:solidFill>
              <w14:schemeClr w14:val="tx1"/>
            </w14:solidFill>
          </w14:textFill>
        </w:rPr>
        <w:t xml:space="preserve">工程变更签发、工程价款调整的审核、工期顺延的审核，核发开工通知、缓建指令，工程款支付审批权，更换或清退不符合要求的施工管理及技术人员。</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 施工现场、施工条件和基础资料的提供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2.4.1 提供施工现场</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outlineLvl w:val="0"/>
      </w:pPr>
      <w:r/>
      <w:bookmarkStart w:id="95" w:name="_Toc4805"/>
      <w:r/>
      <w:bookmarkStart w:id="96" w:name="_Toc12164"/>
      <w:r>
        <w:rPr>
          <w:rFonts w:hint="eastAsia" w:hAnsi="宋体" w:cs="宋体"/>
          <w:color w:val="000000" w:themeColor="text1"/>
          <w:sz w:val="21"/>
          <w:szCs w:val="21"/>
          <w:highlight w:val="none"/>
          <w14:textFill>
            <w14:solidFill>
              <w14:schemeClr w14:val="tx1"/>
            </w14:solidFill>
          </w14:textFill>
        </w:rPr>
        <w:t xml:space="preserve">关于发包人移交施工现场的期限要求：</w:t>
      </w:r>
      <w:r>
        <w:rPr>
          <w:rFonts w:hint="eastAsia" w:hAnsi="宋体" w:cs="宋体"/>
          <w:color w:val="000000" w:themeColor="text1"/>
          <w:sz w:val="21"/>
          <w:szCs w:val="21"/>
          <w:highlight w:val="none"/>
          <w:u w:val="single"/>
          <w14:textFill>
            <w14:solidFill>
              <w14:schemeClr w14:val="tx1"/>
            </w14:solidFill>
          </w14:textFill>
        </w:rPr>
        <w:t xml:space="preserve">施工现场已具备开工条件，投标人踏勘现场时已确认。</w:t>
      </w:r>
      <w:bookmarkEnd w:id="95"/>
      <w:r/>
      <w:bookmarkEnd w:id="9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2.4.2 提供施工条件</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关于发包人应负责提供施工所需要的条件，包括：</w:t>
      </w:r>
      <w:r>
        <w:rPr>
          <w:rFonts w:hint="eastAsia" w:ascii="宋体" w:hAnsi="宋体" w:cs="宋体"/>
          <w:color w:val="000000" w:themeColor="text1"/>
          <w:szCs w:val="21"/>
          <w:highlight w:val="none"/>
          <w:u w:val="single"/>
          <w14:textFill>
            <w14:solidFill>
              <w14:schemeClr w14:val="tx1"/>
            </w14:solidFill>
          </w14:textFill>
        </w:rPr>
        <w:t xml:space="preserve"> 施工所需的水、电、电讯线路接至施工场地，施工场地与公共道路的通道开通，工程地质和地下管线资料的提供，将水准点、坐标控制点提交承包人（水准点、坐标控制点交验完毕，即由承包人应自费负责保护，此后由于破坏或失准带来的重新测量、放点费用及由此造成的其他损失均由承包人负担），办理施工所需证件、批件的名称和完成时间（开工前由承包人协助发包人办理，不能影响开工）等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 资金来源证明及支付担保</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发包人提供资金来源证明的期限要求：</w:t>
      </w:r>
      <w:r>
        <w:rPr>
          <w:rFonts w:hint="eastAsia" w:ascii="宋体" w:hAnsi="宋体" w:cs="宋体"/>
          <w:color w:val="000000" w:themeColor="text1"/>
          <w:szCs w:val="21"/>
          <w:highlight w:val="none"/>
          <w:u w:val="single"/>
          <w14:textFill>
            <w14:solidFill>
              <w14:schemeClr w14:val="tx1"/>
            </w14:solidFill>
          </w14:textFill>
        </w:rPr>
        <w:t xml:space="preserve">已落实。</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发包人是否提供支付担保：</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发包人提供支付担保的形式：</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97" w:name="_Toc351203635"/>
      <w:r>
        <w:rPr>
          <w:rFonts w:hint="eastAsia" w:ascii="宋体" w:hAnsi="宋体" w:cs="宋体"/>
          <w:color w:val="000000" w:themeColor="text1"/>
          <w:szCs w:val="21"/>
          <w:highlight w:val="none"/>
          <w14:textFill>
            <w14:solidFill>
              <w14:schemeClr w14:val="tx1"/>
            </w14:solidFill>
          </w14:textFill>
        </w:rPr>
        <w:t xml:space="preserve">3</w:t>
      </w:r>
      <w:bookmarkStart w:id="98" w:name="_Toc296944497"/>
      <w:r/>
      <w:bookmarkStart w:id="99" w:name="_Toc292559868"/>
      <w:r/>
      <w:bookmarkStart w:id="100" w:name="_Toc296346659"/>
      <w:r/>
      <w:bookmarkStart w:id="101" w:name="_Toc292559363"/>
      <w:r/>
      <w:bookmarkStart w:id="102" w:name="_Toc296890986"/>
      <w:r/>
      <w:bookmarkStart w:id="103" w:name="_Toc296891198"/>
      <w:r/>
      <w:bookmarkStart w:id="104" w:name="_Toc297120458"/>
      <w:r/>
      <w:bookmarkStart w:id="105" w:name="_Toc297048344"/>
      <w:r/>
      <w:bookmarkStart w:id="106" w:name="_Toc296347157"/>
      <w:r/>
      <w:bookmarkStart w:id="107" w:name="_Toc296503158"/>
      <w:r>
        <w:rPr>
          <w:rFonts w:hint="eastAsia" w:ascii="宋体" w:hAnsi="宋体" w:cs="宋体"/>
          <w:color w:val="000000" w:themeColor="text1"/>
          <w:szCs w:val="21"/>
          <w:highlight w:val="none"/>
          <w14:textFill>
            <w14:solidFill>
              <w14:schemeClr w14:val="tx1"/>
            </w14:solidFill>
          </w14:textFill>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 承包人的一般义务</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（9）承包人提交的竣工资料的内容及时间：</w:t>
      </w:r>
      <w:r>
        <w:rPr>
          <w:rFonts w:hint="eastAsia" w:ascii="宋体" w:hAnsi="宋体" w:cs="宋体"/>
          <w:color w:val="000000" w:themeColor="text1"/>
          <w:szCs w:val="21"/>
          <w:highlight w:val="none"/>
          <w:u w:val="single"/>
          <w14:textFill>
            <w14:solidFill>
              <w14:schemeClr w14:val="tx1"/>
            </w14:solidFill>
          </w14:textFill>
        </w:rPr>
        <w:t xml:space="preserve">竣工验收后三十日内承包人提供符合城建档案馆要求的竣工图三套（费用由中标人支付）,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承包人需要提交的竣工资料套数：</w:t>
      </w:r>
      <w:r>
        <w:rPr>
          <w:rFonts w:hint="eastAsia" w:ascii="宋体" w:hAnsi="宋体" w:cs="宋体"/>
          <w:color w:val="000000" w:themeColor="text1"/>
          <w:szCs w:val="21"/>
          <w:highlight w:val="none"/>
          <w:u w:val="single"/>
          <w14:textFill>
            <w14:solidFill>
              <w14:schemeClr w14:val="tx1"/>
            </w14:solidFill>
          </w14:textFill>
        </w:rPr>
        <w:t xml:space="preserve">         三套          </w:t>
      </w:r>
      <w:r/>
    </w:p>
    <w:p>
      <w:pPr>
        <w:ind w:firstLine="420"/>
        <w:jc w:val="left"/>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承包人提交的竣工资料的费用承担:</w:t>
      </w:r>
      <w:r>
        <w:rPr>
          <w:rFonts w:hint="eastAsia" w:ascii="宋体" w:hAnsi="宋体" w:cs="宋体"/>
          <w:color w:val="000000" w:themeColor="text1"/>
          <w:szCs w:val="21"/>
          <w:highlight w:val="none"/>
          <w:u w:val="single"/>
          <w14:textFill>
            <w14:solidFill>
              <w14:schemeClr w14:val="tx1"/>
            </w14:solidFill>
          </w14:textFill>
        </w:rPr>
        <w:t xml:space="preserve"> 费用由承包人自行承担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承包人提交的竣工资料形式要求：</w:t>
      </w:r>
      <w:r>
        <w:rPr>
          <w:rFonts w:hint="eastAsia" w:ascii="宋体" w:hAnsi="宋体" w:cs="宋体"/>
          <w:color w:val="000000" w:themeColor="text1"/>
          <w:szCs w:val="21"/>
          <w:highlight w:val="none"/>
          <w:u w:val="single"/>
          <w14:textFill>
            <w14:solidFill>
              <w14:schemeClr w14:val="tx1"/>
            </w14:solidFill>
          </w14:textFill>
        </w:rPr>
        <w:t xml:space="preserve">      书面及电子档     </w:t>
      </w:r>
      <w:r/>
    </w:p>
    <w:p>
      <w:pPr>
        <w:pStyle w:val="1102"/>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（10）承包人应履行的其他义务：承包人应按约定时间和要求，完成以下工作： </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①</w:t>
      </w:r>
      <w:r>
        <w:rPr>
          <w:rFonts w:hint="eastAsia" w:hAnsi="宋体" w:cs="宋体"/>
          <w:color w:val="000000" w:themeColor="text1"/>
          <w:sz w:val="21"/>
          <w:szCs w:val="21"/>
          <w:highlight w:val="none"/>
          <w:u w:val="single"/>
          <w14:textFill>
            <w14:solidFill>
              <w14:schemeClr w14:val="tx1"/>
            </w14:solidFill>
          </w14:textFill>
        </w:rPr>
        <w:t xml:space="preserve">投标前承包人应充分踏勘现场，报价中应包括承包人所需用的已有施工单位水、电等的一切配合费用，发包人不再因此发生任何费用。</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②承担施工安全保卫工作及非夜间施工照明的责任和要求：</w:t>
      </w:r>
      <w:r>
        <w:rPr>
          <w:rFonts w:hint="eastAsia" w:hAnsi="宋体" w:cs="宋体"/>
          <w:color w:val="000000" w:themeColor="text1"/>
          <w:sz w:val="21"/>
          <w:szCs w:val="21"/>
          <w:highlight w:val="none"/>
          <w:u w:val="single"/>
          <w14:textFill>
            <w14:solidFill>
              <w14:schemeClr w14:val="tx1"/>
            </w14:solidFill>
          </w14:textFill>
        </w:rPr>
        <w:t xml:space="preserve">承包人承担现场的安全、保卫、照明等责任和费用；在开工前必须对施工现场进行封闭并按实际现场需要，提供施工安全保卫工作及施工照明等，否则，所造成的一切责任均由承包人负责。</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outlineLvl w:val="0"/>
      </w:pPr>
      <w:r/>
      <w:bookmarkStart w:id="108" w:name="_Toc25150"/>
      <w:r/>
      <w:bookmarkStart w:id="109" w:name="_Toc18575"/>
      <w:r>
        <w:rPr>
          <w:rFonts w:hint="eastAsia" w:hAnsi="宋体" w:cs="宋体"/>
          <w:color w:val="000000" w:themeColor="text1"/>
          <w:sz w:val="21"/>
          <w:szCs w:val="21"/>
          <w:highlight w:val="none"/>
          <w14:textFill>
            <w14:solidFill>
              <w14:schemeClr w14:val="tx1"/>
            </w14:solidFill>
          </w14:textFill>
        </w:rPr>
        <w:t xml:space="preserve">③向发包人提供的办公和生活房屋及设施的要求：</w:t>
      </w:r>
      <w:r>
        <w:rPr>
          <w:rFonts w:hint="eastAsia" w:hAnsi="宋体" w:cs="宋体"/>
          <w:color w:val="000000" w:themeColor="text1"/>
          <w:sz w:val="21"/>
          <w:szCs w:val="21"/>
          <w:highlight w:val="none"/>
          <w:u w:val="single"/>
          <w14:textFill>
            <w14:solidFill>
              <w14:schemeClr w14:val="tx1"/>
            </w14:solidFill>
          </w14:textFill>
        </w:rPr>
        <w:t xml:space="preserve">承包人应按照发包人要求，免费提供相关办公设施。</w:t>
      </w:r>
      <w:bookmarkEnd w:id="108"/>
      <w:r/>
      <w:bookmarkEnd w:id="109"/>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④需承包人办理的有关施工场地交通、环卫环保和施工噪音管理等手续：</w:t>
      </w:r>
      <w:r>
        <w:rPr>
          <w:rFonts w:hint="eastAsia" w:hAnsi="宋体" w:cs="宋体"/>
          <w:color w:val="000000" w:themeColor="text1"/>
          <w:sz w:val="21"/>
          <w:szCs w:val="21"/>
          <w:highlight w:val="none"/>
          <w:u w:val="single"/>
          <w14:textFill>
            <w14:solidFill>
              <w14:schemeClr w14:val="tx1"/>
            </w14:solidFill>
          </w14:textFill>
        </w:rPr>
        <w:t xml:space="preserve">承包人自行办理有关施工场地交通、城管、环卫和施工噪音管理等手续，不得影响施工工期，并严格按照扬州市城市管理的有关规定以及安全文明施工要求进行施工。现场临时通道按总平面图部署，同时服从发包人的现场调整。</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⑤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⑥施工场地周围地下管线和邻近建筑物、构筑物（含文物保护建筑）、古树名木的保护要求及费用承担：承包人负责按照相关规定要求做好施工场地周围地下管线和邻近建筑物、构筑物（含文物保护建筑）、古树名木的保护要求。自行承担相关费用。</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⑦施工场地清洁卫生的要</w:t>
      </w:r>
      <w:r>
        <w:rPr>
          <w:rFonts w:hint="eastAsia" w:hAnsi="宋体" w:cs="宋体"/>
          <w:color w:val="000000" w:themeColor="text1"/>
          <w:sz w:val="21"/>
          <w:szCs w:val="21"/>
          <w:highlight w:val="none"/>
          <w:u w:val="single"/>
          <w14:textFill>
            <w14:solidFill>
              <w14:schemeClr w14:val="tx1"/>
            </w14:solidFill>
          </w14:textFill>
        </w:rPr>
        <w:t xml:space="preserve">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⑧承包人必须严格按《扬府办发【2014】34号》文件要求全面做好施工现场及土方临时堆放场地的扬尘控制工作，相关费用投标时综合考虑。承包人应采取控制措施使施工现场达到市环保和政府其它部门对建筑工地的要求，避免伤害或妨碍公众及周围环境，如因妨碍或伤害造成的行政处罚等其它赔偿均由承包人承担。</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⑨承包人应在临街交通道路附近、施工现场等危险场所搭设安全防护设施，确保施工安全和第三者的安全，承担由于自身安全措施不力造成事故的责任和所发生费用。</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⑩因承包人原因造成的任何事故或工伤（包括第三者人员在内）所发生的依法应该支付的损失、赔偿费、补偿费用等责任由承包人承担，同时承包人应按有关规定立即上报有关部门并通知发包人和监理人，由此给发包人带来的任何影响，均由承包人承担。</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⑪承包人对现场作业和施工安全承担全部责任，承担造成的一切损失；</w:t>
      </w:r>
      <w:r/>
    </w:p>
    <w:p>
      <w:pPr>
        <w:pStyle w:val="1102"/>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⑫本工程所用水、电由承包人统一挂表管理，水电费用按实结算，均由承包人承担并及时缴纳给供电公司和自来水公司。</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⑬</w:t>
      </w:r>
      <w:r>
        <w:rPr>
          <w:rFonts w:hint="eastAsia" w:hAnsi="宋体" w:cs="宋体"/>
          <w:color w:val="000000" w:themeColor="text1"/>
          <w:sz w:val="21"/>
          <w:szCs w:val="21"/>
          <w:highlight w:val="none"/>
          <w:u w:val="single"/>
          <w14:textFill>
            <w14:solidFill>
              <w14:schemeClr w14:val="tx1"/>
            </w14:solidFill>
          </w14:textFill>
        </w:rPr>
        <w:t xml:space="preserve">承包人须积极配合业主、监理人协调解决施工现场、周边及外部矛盾，不得以外部矛盾作为工期不能完成的理由。</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⑭</w:t>
      </w:r>
      <w:r>
        <w:rPr>
          <w:rFonts w:hint="eastAsia" w:hAnsi="宋体" w:cs="宋体"/>
          <w:color w:val="000000" w:themeColor="text1"/>
          <w:sz w:val="21"/>
          <w:szCs w:val="21"/>
          <w:highlight w:val="none"/>
          <w:u w:val="single"/>
          <w14:textFill>
            <w14:solidFill>
              <w14:schemeClr w14:val="tx1"/>
            </w14:solidFill>
          </w14:textFill>
        </w:rPr>
        <w:t xml:space="preserve">承包人负责做好迎接各类现场检查的配合工作，相关费用在投标中综合考虑。</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 项目经理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 项目经理：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建造师执业资格等级：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建造师注册证书号：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建造师执业印章号：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安全生产考核合格证书号：；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p>
    <w:p>
      <w:pPr>
        <w:ind w:left="63" w:right="63" w:firstLine="46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承包人对项目经理的授权范围如下：</w:t>
      </w:r>
      <w:r>
        <w:rPr>
          <w:rFonts w:hint="eastAsia" w:ascii="宋体" w:hAnsi="宋体" w:cs="宋体"/>
          <w:color w:val="000000" w:themeColor="text1"/>
          <w:szCs w:val="21"/>
          <w:highlight w:val="none"/>
          <w:u w:val="single"/>
          <w14:textFill>
            <w14:solidFill>
              <w14:schemeClr w14:val="tx1"/>
            </w14:solidFill>
          </w14:textFill>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p>
    <w:p>
      <w:pPr>
        <w:ind w:firstLine="420"/>
        <w:jc w:val="left"/>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关于项目经理每月在施工现场的时间要求：</w:t>
      </w:r>
      <w:r>
        <w:rPr>
          <w:rFonts w:hint="eastAsia" w:ascii="宋体" w:hAnsi="宋体" w:cs="宋体"/>
          <w:color w:val="000000" w:themeColor="text1"/>
          <w:szCs w:val="21"/>
          <w:highlight w:val="none"/>
          <w:u w:val="single"/>
          <w14:textFill>
            <w14:solidFill>
              <w14:schemeClr w14:val="tx1"/>
            </w14:solidFill>
          </w14:textFill>
        </w:rPr>
        <w:t xml:space="preserve">项目经理每周至少6天，每天不少于7小时，工地例会等必须参加。项目施工过程中，项目经理必须全程在场组织施工，因特殊原因不得到岗的需事先得到发包人同意。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承包人未提交劳动合同，以及没有为项目经理缴纳社会保险证明的违约责任：</w:t>
      </w:r>
      <w:r>
        <w:rPr>
          <w:rFonts w:hint="eastAsia" w:ascii="宋体" w:hAnsi="宋体" w:cs="宋体"/>
          <w:color w:val="000000" w:themeColor="text1"/>
          <w:szCs w:val="21"/>
          <w:highlight w:val="none"/>
          <w:u w:val="single"/>
          <w14:textFill>
            <w14:solidFill>
              <w14:schemeClr w14:val="tx1"/>
            </w14:solidFill>
          </w14:textFill>
        </w:rPr>
        <w:t xml:space="preserve">根据现行法律法规对承包人进行罚款，并上报行政主管部门，并保留解除合同的权利。</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项目经理未经批准，擅自离开施工现场的违约责任：</w:t>
      </w:r>
      <w:r>
        <w:rPr>
          <w:rFonts w:hint="eastAsia" w:ascii="宋体" w:hAnsi="宋体" w:cs="宋体"/>
          <w:color w:val="000000" w:themeColor="text1"/>
          <w:szCs w:val="21"/>
          <w:highlight w:val="none"/>
          <w:u w:val="single"/>
          <w14:textFill>
            <w14:solidFill>
              <w14:schemeClr w14:val="tx1"/>
            </w14:solidFill>
          </w14:textFill>
        </w:rPr>
        <w:t xml:space="preserve">中标项目经理和项目技术负责人在施工阶段未经发包人或监理人认可，不在工地现场，发包人有权处以罚款 2000 元/天，连续 5 天或一个月内累计 10 天不在现场，发包人有权终止合同，并依法追究承包人造成的损失，同时报相应的建设主管部门处理。投标文件中其他项目管理人员不到位或不能胜任其岗位，发包人有权要求承包人更换并处以相应罚款。</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3.2.3 承包人擅自更换项目经理的违约责任：</w:t>
      </w:r>
      <w:r>
        <w:rPr>
          <w:rFonts w:hint="eastAsia" w:ascii="宋体" w:hAnsi="宋体" w:cs="宋体"/>
          <w:color w:val="000000" w:themeColor="text1"/>
          <w:szCs w:val="21"/>
          <w:highlight w:val="none"/>
          <w:u w:val="single"/>
          <w14:textFill>
            <w14:solidFill>
              <w14:schemeClr w14:val="tx1"/>
            </w14:solidFill>
          </w14:textFill>
        </w:rPr>
        <w:t xml:space="preserve">实际进入施工现场组织施工的项目经理必须是投标项目经理，施工过程中不得更换。如果更换项目经理，须符合《扬州市建设工程项目经理管理暂行办法》第十二条规定的情形，并对其处以 5 万元/次的经济处罚，且所更换的项目经理资质等级及所完成工程业绩等不得低于原通过资格审查的项目经理相应条件，并征得发包人书面同意。</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3.2.4 承包人无正当理由拒绝更换项目经理的违约责任：</w:t>
      </w:r>
      <w:r>
        <w:rPr>
          <w:rFonts w:hint="eastAsia" w:ascii="宋体" w:hAnsi="宋体" w:cs="宋体"/>
          <w:color w:val="000000" w:themeColor="text1"/>
          <w:szCs w:val="21"/>
          <w:highlight w:val="none"/>
          <w:u w:val="single"/>
          <w14:textFill>
            <w14:solidFill>
              <w14:schemeClr w14:val="tx1"/>
            </w14:solidFill>
          </w14:textFill>
        </w:rPr>
        <w:t xml:space="preserve">发包人有权解除合同，并依法追究承包人造成的损失，同时报相应的建设主管部门处理。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 承包人人员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Cs w:val="21"/>
          <w:highlight w:val="none"/>
          <w:u w:val="single"/>
          <w14:textFill>
            <w14:solidFill>
              <w14:schemeClr w14:val="tx1"/>
            </w14:solidFill>
          </w14:textFill>
        </w:rPr>
        <w:t xml:space="preserve">开工前三天。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Cs w:val="21"/>
          <w:highlight w:val="none"/>
          <w:u w:val="single"/>
          <w14:textFill>
            <w14:solidFill>
              <w14:schemeClr w14:val="tx1"/>
            </w14:solidFill>
          </w14:textFill>
        </w:rPr>
        <w:t xml:space="preserve">发包人及工程师有权要求承包人立即从工程中撤换在发包人、项目管理或监理人看来行为不轨或在履行其职责时不能胜任、玩忽职守的人员及发包人、项目管理或监理人认为其在现场出现是不适宜的人员。被要求撤换的人员应从速替换，无发包人的批准不得重新进入现场工作。所更换的人员的资质等级及所完成工程业绩等不得低于原通过资格审查的相应条件，并征得发包人书面同意。承包人无正当理由拒绝更换主要管理人员，每一人次处罚 2-10 万元；必要时，发包人有权解除合同，并依法追究承包人造成的损失，同时报相应的建设主管部门处理。</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3.3.4 承包人主要施工管理人员离开施工现场的批准要求：</w:t>
      </w:r>
      <w:r>
        <w:rPr>
          <w:rFonts w:hint="eastAsia" w:ascii="宋体" w:hAnsi="宋体" w:cs="宋体"/>
          <w:color w:val="000000" w:themeColor="text1"/>
          <w:szCs w:val="21"/>
          <w:highlight w:val="none"/>
          <w:u w:val="single"/>
          <w14:textFill>
            <w14:solidFill>
              <w14:schemeClr w14:val="tx1"/>
            </w14:solidFill>
          </w14:textFill>
        </w:rPr>
        <w:t xml:space="preserve">报项目经理、监理及发包人代表批准。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3.3.5 承包人擅自更换主要施工管理人员的违约责任：</w:t>
      </w:r>
      <w:r>
        <w:rPr>
          <w:rFonts w:hint="eastAsia" w:ascii="宋体" w:hAnsi="宋体" w:cs="宋体"/>
          <w:color w:val="000000" w:themeColor="text1"/>
          <w:szCs w:val="21"/>
          <w:highlight w:val="none"/>
          <w:u w:val="single"/>
          <w14:textFill>
            <w14:solidFill>
              <w14:schemeClr w14:val="tx1"/>
            </w14:solidFill>
          </w14:textFill>
        </w:rPr>
        <w:t xml:space="preserve">发包人有权解除合同，并依法追究承包人造成的损失，同时报相应的建设主管部门处理。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承包人主要施工管理人员擅自离开施工现场的违约责任：</w:t>
      </w:r>
      <w:r>
        <w:rPr>
          <w:rFonts w:hint="eastAsia" w:ascii="宋体" w:hAnsi="宋体" w:cs="宋体"/>
          <w:color w:val="000000" w:themeColor="text1"/>
          <w:szCs w:val="21"/>
          <w:highlight w:val="none"/>
          <w:u w:val="single"/>
          <w14:textFill>
            <w14:solidFill>
              <w14:schemeClr w14:val="tx1"/>
            </w14:solidFill>
          </w14:textFill>
        </w:rPr>
        <w:t xml:space="preserve">未经发包人批准，严禁脱岗或离岗，如有发生，每次罚款500元/人/次，连续3次不在现场，发包人有权要求更换人员，必要时可解除合同，承包人承担所有责任。</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bookmarkStart w:id="110" w:name="_Toc296347158"/>
      <w:r/>
      <w:bookmarkStart w:id="111" w:name="_Toc297120459"/>
      <w:r/>
      <w:bookmarkStart w:id="112" w:name="_Toc297048345"/>
      <w:r/>
      <w:bookmarkStart w:id="113" w:name="_Toc300934945"/>
      <w:r/>
      <w:bookmarkStart w:id="114" w:name="_Toc303539102"/>
      <w:r/>
      <w:bookmarkStart w:id="115" w:name="_Toc292559364"/>
      <w:r/>
      <w:bookmarkStart w:id="116" w:name="_Toc296891199"/>
      <w:r/>
      <w:bookmarkStart w:id="117" w:name="_Toc296346660"/>
      <w:r/>
      <w:bookmarkStart w:id="118" w:name="_Toc304295523"/>
      <w:r/>
      <w:bookmarkStart w:id="119" w:name="_Toc296944498"/>
      <w:r/>
      <w:bookmarkStart w:id="120" w:name="_Toc292559869"/>
      <w:r/>
      <w:bookmarkStart w:id="121" w:name="_Toc296890987"/>
      <w:r/>
      <w:bookmarkStart w:id="122" w:name="_Toc312677988"/>
      <w:r/>
      <w:bookmarkStart w:id="123" w:name="_Toc296503159"/>
      <w:r/>
      <w:bookmarkStart w:id="124" w:name="_Toc297123492"/>
      <w:r/>
      <w:bookmarkStart w:id="125" w:name="_Toc297216151"/>
      <w:r>
        <w:rPr>
          <w:rFonts w:hint="eastAsia" w:ascii="宋体" w:hAnsi="宋体" w:cs="宋体"/>
          <w:color w:val="000000" w:themeColor="text1"/>
          <w:szCs w:val="21"/>
          <w:highlight w:val="none"/>
          <w14:textFill>
            <w14:solidFill>
              <w14:schemeClr w14:val="tx1"/>
            </w14:solidFill>
          </w14:textFill>
        </w:rPr>
        <w:t xml:space="preserve">.5 分包</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bookmarkStart w:id="126" w:name="_Toc297216152"/>
      <w:r/>
      <w:bookmarkStart w:id="127" w:name="_Toc297123493"/>
      <w:r/>
      <w:bookmarkStart w:id="128" w:name="_Toc292559365"/>
      <w:r/>
      <w:bookmarkStart w:id="129" w:name="_Toc292559870"/>
      <w:r/>
      <w:bookmarkStart w:id="130" w:name="_Toc304295524"/>
      <w:r/>
      <w:bookmarkStart w:id="131" w:name="_Toc300934946"/>
      <w:r/>
      <w:bookmarkStart w:id="132" w:name="_Toc296503160"/>
      <w:r/>
      <w:bookmarkStart w:id="133" w:name="_Toc297048346"/>
      <w:r/>
      <w:bookmarkStart w:id="134" w:name="_Toc296944499"/>
      <w:r/>
      <w:bookmarkStart w:id="135" w:name="_Toc296890988"/>
      <w:r/>
      <w:bookmarkStart w:id="136" w:name="_Toc297120460"/>
      <w:r/>
      <w:bookmarkStart w:id="137" w:name="_Toc303539103"/>
      <w:r/>
      <w:bookmarkStart w:id="138" w:name="_Toc296891200"/>
      <w:r/>
      <w:bookmarkStart w:id="139" w:name="_Toc296346661"/>
      <w:r/>
      <w:bookmarkStart w:id="140" w:name="_Toc296347159"/>
      <w:r/>
      <w:bookmarkStart w:id="141" w:name="_Toc312677989"/>
      <w:r/>
      <w:bookmarkStart w:id="142" w:name="_Toc318581158"/>
      <w:r>
        <w:rPr>
          <w:rFonts w:hint="eastAsia" w:ascii="宋体" w:hAnsi="宋体" w:cs="宋体"/>
          <w:color w:val="000000" w:themeColor="text1"/>
          <w:szCs w:val="21"/>
          <w:highlight w:val="none"/>
          <w14:textFill>
            <w14:solidFill>
              <w14:schemeClr w14:val="tx1"/>
            </w14:solidFill>
          </w14:textFill>
        </w:rPr>
        <w:t xml:space="preserve">.5.1 分包的一般约定</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bookmarkStart w:id="143" w:name="_Toc296890989"/>
      <w:r/>
      <w:bookmarkStart w:id="144" w:name="_Toc296944500"/>
      <w:r/>
      <w:bookmarkStart w:id="145" w:name="_Toc297216153"/>
      <w:r/>
      <w:bookmarkStart w:id="146" w:name="_Toc304295525"/>
      <w:r/>
      <w:bookmarkStart w:id="147" w:name="_Toc297048347"/>
      <w:r/>
      <w:bookmarkStart w:id="148" w:name="_Toc296891201"/>
      <w:r/>
      <w:bookmarkStart w:id="149" w:name="_Toc297120461"/>
      <w:r/>
      <w:bookmarkStart w:id="150" w:name="_Toc300934947"/>
      <w:r/>
      <w:bookmarkStart w:id="151" w:name="_Toc296346662"/>
      <w:r/>
      <w:bookmarkStart w:id="152" w:name="_Toc297123494"/>
      <w:r/>
      <w:bookmarkStart w:id="153" w:name="_Toc296503161"/>
      <w:r/>
      <w:bookmarkStart w:id="154" w:name="_Toc303539104"/>
      <w:r/>
      <w:bookmarkStart w:id="155" w:name="_Toc296347160"/>
      <w:r>
        <w:rPr>
          <w:rFonts w:hint="eastAsia" w:ascii="宋体" w:hAnsi="宋体" w:cs="宋体"/>
          <w:color w:val="000000" w:themeColor="text1"/>
          <w:szCs w:val="21"/>
          <w:highlight w:val="none"/>
          <w14:textFill>
            <w14:solidFill>
              <w14:schemeClr w14:val="tx1"/>
            </w14:solidFill>
          </w14:textFill>
        </w:rPr>
        <w:t xml:space="preserve">禁止分包的工程包括：</w:t>
      </w:r>
      <w:r>
        <w:rPr>
          <w:rFonts w:hint="eastAsia" w:ascii="宋体" w:hAnsi="宋体" w:cs="宋体"/>
          <w:color w:val="000000" w:themeColor="text1"/>
          <w:szCs w:val="21"/>
          <w:highlight w:val="none"/>
          <w:u w:val="single"/>
          <w14:textFill>
            <w14:solidFill>
              <w14:schemeClr w14:val="tx1"/>
            </w14:solidFill>
          </w14:textFill>
        </w:rPr>
        <w:t xml:space="preserve">本工程不允许分包（渣土外运除外），否则一切后果由承包人承担。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主体结构、关键性工作的范围：</w:t>
      </w:r>
      <w:r>
        <w:rPr>
          <w:rFonts w:hint="eastAsia" w:ascii="宋体" w:hAnsi="宋体" w:cs="宋体"/>
          <w:color w:val="000000" w:themeColor="text1"/>
          <w:szCs w:val="21"/>
          <w:highlight w:val="none"/>
          <w:u w:val="single"/>
          <w14:textFill>
            <w14:solidFill>
              <w14:schemeClr w14:val="tx1"/>
            </w14:solidFill>
          </w14:textFill>
        </w:rPr>
        <w:t xml:space="preserve">     /     </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156" w:name="_Toc318581159"/>
      <w:r/>
      <w:bookmarkStart w:id="157" w:name="_Toc312677990"/>
      <w:r>
        <w:rPr>
          <w:rFonts w:hint="eastAsia" w:ascii="宋体" w:hAnsi="宋体" w:cs="宋体"/>
          <w:color w:val="000000" w:themeColor="text1"/>
          <w:szCs w:val="21"/>
          <w:highlight w:val="none"/>
          <w14:textFill>
            <w14:solidFill>
              <w14:schemeClr w14:val="tx1"/>
            </w14:solidFill>
          </w14:textFill>
        </w:rPr>
        <w:t xml:space="preserve"> 3.5.2 分包的确定</w:t>
      </w:r>
      <w:r/>
    </w:p>
    <w:p>
      <w:pPr>
        <w:ind w:left="63" w:right="63"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允许分包的专业工程包括：</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其他关于分包的约定：</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3.5.4 分包合同价款</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关于分包合同价款支付的约定：</w:t>
      </w:r>
      <w:r>
        <w:rPr>
          <w:rFonts w:hint="eastAsia" w:ascii="宋体" w:hAnsi="宋体" w:cs="宋体"/>
          <w:color w:val="000000" w:themeColor="text1"/>
          <w:szCs w:val="21"/>
          <w:highlight w:val="none"/>
          <w:u w:val="single"/>
          <w14:textFill>
            <w14:solidFill>
              <w14:schemeClr w14:val="tx1"/>
            </w14:solidFill>
          </w14:textFill>
        </w:rPr>
        <w:t xml:space="preserve">   /   </w:t>
      </w:r>
      <w:bookmarkEnd w:id="156"/>
      <w:r/>
      <w:bookmarkEnd w:id="157"/>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 工程照管与成品、半成品保护</w:t>
      </w:r>
      <w:r/>
    </w:p>
    <w:p>
      <w:pPr>
        <w:ind w:firstLine="420"/>
        <w:jc w:val="left"/>
        <w:spacing w:before="120"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Cs w:val="21"/>
          <w:highlight w:val="none"/>
          <w:u w:val="single"/>
          <w14:textFill>
            <w14:solidFill>
              <w14:schemeClr w14:val="tx1"/>
            </w14:solidFill>
          </w14:textFill>
        </w:rPr>
        <w:t xml:space="preserve">从承包人进场起至移交工程予发包人止。</w:t>
      </w:r>
      <w:bookmarkStart w:id="158" w:name="_Toc351203636"/>
      <w:r/>
      <w:r/>
    </w:p>
    <w:p>
      <w:pPr>
        <w:pStyle w:val="1107"/>
        <w:ind w:firstLine="52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3.7 履约担保</w:t>
      </w:r>
      <w:r/>
    </w:p>
    <w:p>
      <w:pPr>
        <w:pStyle w:val="1107"/>
        <w:ind w:firstLine="420"/>
        <w:spacing w:line="360" w:lineRule="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承包人是否提供履约担保：</w:t>
      </w:r>
      <w:r>
        <w:rPr>
          <w:rFonts w:hint="eastAsia" w:ascii="宋体" w:hAnsi="宋体"/>
          <w:color w:val="000000" w:themeColor="text1"/>
          <w:sz w:val="21"/>
          <w:szCs w:val="21"/>
          <w:highlight w:val="none"/>
          <w:u w:val="single"/>
          <w14:textFill>
            <w14:solidFill>
              <w14:schemeClr w14:val="tx1"/>
            </w14:solidFill>
          </w14:textFill>
        </w:rPr>
        <w:t xml:space="preserve">是，合同价的5%。</w:t>
      </w:r>
      <w:r/>
    </w:p>
    <w:p>
      <w:pPr>
        <w:pStyle w:val="1107"/>
        <w:ind w:firstLine="420"/>
        <w:spacing w:line="360" w:lineRule="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履约担保的形式：</w:t>
      </w:r>
      <w:r>
        <w:rPr>
          <w:rFonts w:hint="eastAsia" w:ascii="宋体" w:hAnsi="宋体"/>
          <w:color w:val="000000" w:themeColor="text1"/>
          <w:sz w:val="21"/>
          <w:szCs w:val="21"/>
          <w:highlight w:val="none"/>
          <w:u w:val="single"/>
          <w14:textFill>
            <w14:solidFill>
              <w14:schemeClr w14:val="tx1"/>
            </w14:solidFill>
          </w14:textFill>
        </w:rPr>
        <w:t xml:space="preserve">保函或银行转账等。</w:t>
      </w:r>
      <w:r/>
    </w:p>
    <w:p>
      <w:pPr>
        <w:pStyle w:val="1107"/>
        <w:ind w:firstLine="420"/>
        <w:spacing w:line="360" w:lineRule="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支付担保的形式：</w:t>
      </w:r>
      <w:r>
        <w:rPr>
          <w:rFonts w:hint="eastAsia" w:ascii="宋体" w:hAnsi="宋体"/>
          <w:color w:val="000000" w:themeColor="text1"/>
          <w:sz w:val="21"/>
          <w:szCs w:val="21"/>
          <w:highlight w:val="none"/>
          <w:u w:val="single"/>
          <w14:textFill>
            <w14:solidFill>
              <w14:schemeClr w14:val="tx1"/>
            </w14:solidFill>
          </w14:textFill>
        </w:rPr>
        <w:t xml:space="preserve">保函等形式。</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4</w:t>
      </w:r>
      <w:bookmarkStart w:id="159" w:name="_Toc296891202"/>
      <w:r/>
      <w:bookmarkStart w:id="160" w:name="_Toc296347161"/>
      <w:r/>
      <w:bookmarkStart w:id="161" w:name="_Toc292559871"/>
      <w:r/>
      <w:bookmarkStart w:id="162" w:name="_Toc296944501"/>
      <w:r/>
      <w:bookmarkStart w:id="163" w:name="_Toc297120462"/>
      <w:r/>
      <w:bookmarkStart w:id="164" w:name="_Toc292559366"/>
      <w:r/>
      <w:bookmarkStart w:id="165" w:name="_Toc267251413"/>
      <w:r/>
      <w:bookmarkStart w:id="166" w:name="_Toc297048348"/>
      <w:r/>
      <w:bookmarkStart w:id="167" w:name="_Toc296346663"/>
      <w:r/>
      <w:bookmarkStart w:id="168" w:name="_Toc296890990"/>
      <w:r/>
      <w:bookmarkStart w:id="169" w:name="_Toc296503162"/>
      <w:r>
        <w:rPr>
          <w:rFonts w:hint="eastAsia" w:ascii="宋体" w:hAnsi="宋体" w:cs="宋体"/>
          <w:color w:val="000000" w:themeColor="text1"/>
          <w:szCs w:val="21"/>
          <w:highlight w:val="none"/>
          <w14:textFill>
            <w14:solidFill>
              <w14:schemeClr w14:val="tx1"/>
            </w14:solidFill>
          </w14:textFill>
        </w:rPr>
        <w:t xml:space="preserve">. 监</w:t>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cs="宋体"/>
          <w:color w:val="000000" w:themeColor="text1"/>
          <w:szCs w:val="21"/>
          <w:highlight w:val="none"/>
          <w14:textFill>
            <w14:solidFill>
              <w14:schemeClr w14:val="tx1"/>
            </w14:solidFill>
          </w14:textFill>
        </w:rPr>
        <w:t xml:space="preserve">理人</w:t>
      </w:r>
      <w:bookmarkEnd w:id="158"/>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 监理人的一般规定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关于监理人的监理内容：</w:t>
      </w:r>
      <w:r>
        <w:rPr>
          <w:rFonts w:hint="eastAsia" w:ascii="宋体" w:hAnsi="宋体" w:cs="宋体"/>
          <w:color w:val="000000" w:themeColor="text1"/>
          <w:szCs w:val="21"/>
          <w:highlight w:val="none"/>
          <w:u w:val="single"/>
          <w14:textFill>
            <w14:solidFill>
              <w14:schemeClr w14:val="tx1"/>
            </w14:solidFill>
          </w14:textFill>
        </w:rPr>
        <w:t xml:space="preserve">见监理合同。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关于监理人的监理权限：</w:t>
      </w:r>
      <w:r>
        <w:rPr>
          <w:rFonts w:hint="eastAsia" w:ascii="宋体" w:hAnsi="宋体" w:cs="宋体"/>
          <w:color w:val="000000" w:themeColor="text1"/>
          <w:szCs w:val="21"/>
          <w:highlight w:val="none"/>
          <w:u w:val="single"/>
          <w14:textFill>
            <w14:solidFill>
              <w14:schemeClr w14:val="tx1"/>
            </w14:solidFill>
          </w14:textFill>
        </w:rPr>
        <w:t xml:space="preserve">受发包人委托对工程质量、进度、投资、安全进行控制、并做好合同管理、信息管理和协调工作，对于工期和造价具有审核的权利和义务，但无决定权。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Cs w:val="21"/>
          <w:highlight w:val="none"/>
          <w:u w:val="single"/>
          <w14:textFill>
            <w14:solidFill>
              <w14:schemeClr w14:val="tx1"/>
            </w14:solidFill>
          </w14:textFill>
        </w:rPr>
        <w:t xml:space="preserve">承包人免费提供办公室1间。</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 监理人员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总监理工程师：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    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监理工程师执业资格证书号：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关于监理人的其他约定：</w:t>
      </w:r>
      <w:r>
        <w:rPr>
          <w:rFonts w:hint="eastAsia" w:hAnsi="宋体" w:cs="宋体"/>
          <w:color w:val="000000" w:themeColor="text1"/>
          <w:sz w:val="2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 商定或确定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在发包人和承包人不能通过协商达成一致意见时，发包人授权监理人对以下事项进行确定：</w:t>
      </w:r>
      <w:r>
        <w:rPr>
          <w:rFonts w:hint="eastAsia" w:ascii="宋体" w:hAnsi="宋体" w:cs="宋体"/>
          <w:color w:val="000000" w:themeColor="text1"/>
          <w:szCs w:val="21"/>
          <w:highlight w:val="none"/>
          <w:u w:val="single"/>
          <w14:textFill>
            <w14:solidFill>
              <w14:schemeClr w14:val="tx1"/>
            </w14:solidFill>
          </w14:textFill>
        </w:rPr>
        <w:t xml:space="preserve">按照通用条款执行。</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170" w:name="_Toc267251418"/>
      <w:r/>
      <w:bookmarkStart w:id="171" w:name="_Toc351203637"/>
      <w:r>
        <w:rPr>
          <w:rFonts w:hint="eastAsia" w:ascii="宋体" w:hAnsi="宋体" w:cs="宋体"/>
          <w:color w:val="000000" w:themeColor="text1"/>
          <w:szCs w:val="21"/>
          <w:highlight w:val="none"/>
          <w14:textFill>
            <w14:solidFill>
              <w14:schemeClr w14:val="tx1"/>
            </w14:solidFill>
          </w14:textFill>
        </w:rPr>
        <w:t xml:space="preserve">5</w:t>
      </w:r>
      <w:bookmarkEnd w:id="170"/>
      <w:r/>
      <w:bookmarkStart w:id="172" w:name="_Toc296944502"/>
      <w:r/>
      <w:bookmarkStart w:id="173" w:name="_Toc292559367"/>
      <w:r/>
      <w:bookmarkStart w:id="174" w:name="_Toc296503163"/>
      <w:r/>
      <w:bookmarkStart w:id="175" w:name="_Toc297120463"/>
      <w:r/>
      <w:bookmarkStart w:id="176" w:name="_Toc296347162"/>
      <w:r/>
      <w:bookmarkStart w:id="177" w:name="_Toc296346664"/>
      <w:r/>
      <w:bookmarkStart w:id="178" w:name="_Toc296891203"/>
      <w:r/>
      <w:bookmarkStart w:id="179" w:name="_Toc297048349"/>
      <w:r/>
      <w:bookmarkStart w:id="180" w:name="_Toc296890991"/>
      <w:r/>
      <w:bookmarkStart w:id="181" w:name="_Toc292559872"/>
      <w:r>
        <w:rPr>
          <w:rFonts w:hint="eastAsia" w:ascii="宋体" w:hAnsi="宋体" w:cs="宋体"/>
          <w:color w:val="000000" w:themeColor="text1"/>
          <w:szCs w:val="21"/>
          <w:highlight w:val="none"/>
          <w14:textFill>
            <w14:solidFill>
              <w14:schemeClr w14:val="tx1"/>
            </w14:solidFill>
          </w14:textFill>
        </w:rPr>
        <w:t xml:space="preserve">. 工程质量</w:t>
      </w:r>
      <w:bookmarkEnd w:id="171"/>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 质量要求</w:t>
      </w:r>
      <w:r/>
    </w:p>
    <w:p>
      <w:pPr>
        <w:ind w:left="479"/>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bookmarkStart w:id="182" w:name="_Toc304295527"/>
      <w:r/>
      <w:bookmarkStart w:id="183" w:name="_Toc300934949"/>
      <w:r/>
      <w:bookmarkStart w:id="184" w:name="_Toc312677997"/>
      <w:r/>
      <w:bookmarkStart w:id="185" w:name="_Toc297123496"/>
      <w:r/>
      <w:bookmarkStart w:id="186" w:name="_Toc318581164"/>
      <w:r/>
      <w:bookmarkStart w:id="187" w:name="_Toc297216155"/>
      <w:r/>
      <w:bookmarkStart w:id="188" w:name="_Toc303539106"/>
      <w:r>
        <w:rPr>
          <w:rFonts w:hint="eastAsia" w:ascii="宋体" w:hAnsi="宋体" w:cs="宋体"/>
          <w:color w:val="000000" w:themeColor="text1"/>
          <w:szCs w:val="21"/>
          <w:highlight w:val="none"/>
          <w14:textFill>
            <w14:solidFill>
              <w14:schemeClr w14:val="tx1"/>
            </w14:solidFill>
          </w14:textFill>
        </w:rPr>
        <w:t xml:space="preserve">.1.1 特殊质量标准和要求：</w:t>
      </w:r>
      <w:r>
        <w:rPr>
          <w:rFonts w:hint="eastAsia" w:ascii="宋体" w:hAnsi="宋体" w:cs="宋体"/>
          <w:color w:val="000000" w:themeColor="text1"/>
          <w:szCs w:val="21"/>
          <w:highlight w:val="none"/>
          <w:u w:val="single"/>
          <w14:textFill>
            <w14:solidFill>
              <w14:schemeClr w14:val="tx1"/>
            </w14:solidFill>
          </w14:textFill>
        </w:rPr>
        <w:t xml:space="preserve">应保证本工程通过验收。</w:t>
      </w:r>
      <w:r/>
    </w:p>
    <w:p>
      <w:pPr>
        <w:ind w:left="479"/>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如果交验工程存在严重的缺陷或者超过检验批的更大范围内的缺陷，可能影响结</w:t>
      </w:r>
      <w:r/>
    </w:p>
    <w:p>
      <w:pPr>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构的安全性和使用功能。经检测单位检测鉴定以后认为达不到规范标准的相应要求，则发包人将拒绝接收该项目，由承包人对该部分拆除重建，并承担相应的费用和违约责任。</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5.1.2 关于工程奖项的约定：</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 隐蔽工程检查</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5.3.2 承包人提前通知监理人隐蔽工程检查的期限的约定：</w:t>
      </w:r>
      <w:r>
        <w:rPr>
          <w:rFonts w:hint="eastAsia" w:hAnsi="宋体" w:cs="宋体"/>
          <w:color w:val="000000" w:themeColor="text1"/>
          <w:sz w:val="21"/>
          <w:szCs w:val="21"/>
          <w:highlight w:val="none"/>
          <w:u w:val="single"/>
          <w14:textFill>
            <w14:solidFill>
              <w14:schemeClr w14:val="tx1"/>
            </w14:solidFill>
          </w14:textFill>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hAnsi="宋体" w:cs="宋体"/>
          <w:color w:val="000000" w:themeColor="text1"/>
          <w:sz w:val="21"/>
          <w:szCs w:val="21"/>
          <w:highlight w:val="none"/>
          <w14:textFill>
            <w14:solidFill>
              <w14:schemeClr w14:val="tx1"/>
            </w14:solidFill>
          </w14:textFill>
        </w:rPr>
        <w:t xml:space="preserve">。</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达不到约定条件的部分，监理方或发包人一经发现，可要求承包人返工 承包人应按监理方或发包人的要求返工，因承包人原因达不到约定条件，由承包人承担返工费用，工期不予顺延。返工后仍不能达到约定条件，承包人承担违约责任。因发包人原因达不到约定条，发包人承担经济损失，工期相应顺延</w:t>
      </w:r>
      <w:r>
        <w:rPr>
          <w:rFonts w:hint="eastAsia" w:hAnsi="宋体" w:cs="宋体"/>
          <w:color w:val="000000" w:themeColor="text1"/>
          <w:sz w:val="21"/>
          <w:szCs w:val="21"/>
          <w:highlight w:val="none"/>
          <w14:textFill>
            <w14:solidFill>
              <w14:schemeClr w14:val="tx1"/>
            </w14:solidFill>
          </w14:textFill>
        </w:rPr>
        <w:t xml:space="preserve">。 </w:t>
      </w:r>
      <w:r/>
    </w:p>
    <w:p>
      <w:pPr>
        <w:pStyle w:val="1102"/>
        <w:ind w:firstLine="566"/>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监理方或发包人发现工程质量问题，可下达停工令，承包人在 3 天内提出书面整改措施，经报项目总监和甲方代表审批同意后，实施整改，由此所产生的工期延误和整改费用，由承包人承担，否则发包人有权停止拨付工程款</w:t>
      </w:r>
      <w:r>
        <w:rPr>
          <w:rFonts w:hint="eastAsia" w:hAnsi="宋体" w:cs="宋体"/>
          <w:color w:val="000000" w:themeColor="text1"/>
          <w:sz w:val="2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监理人不能按时进行检查时，应提前</w:t>
      </w:r>
      <w:r>
        <w:rPr>
          <w:rFonts w:hint="eastAsia" w:ascii="宋体" w:hAnsi="宋体" w:cs="宋体"/>
          <w:color w:val="000000" w:themeColor="text1"/>
          <w:szCs w:val="21"/>
          <w:highlight w:val="none"/>
          <w:u w:val="single"/>
          <w14:textFill>
            <w14:solidFill>
              <w14:schemeClr w14:val="tx1"/>
            </w14:solidFill>
          </w14:textFill>
        </w:rPr>
        <w:t xml:space="preserve"> 12 </w:t>
      </w:r>
      <w:r>
        <w:rPr>
          <w:rFonts w:hint="eastAsia" w:ascii="宋体" w:hAnsi="宋体" w:cs="宋体"/>
          <w:color w:val="000000" w:themeColor="text1"/>
          <w:szCs w:val="21"/>
          <w:highlight w:val="none"/>
          <w14:textFill>
            <w14:solidFill>
              <w14:schemeClr w14:val="tx1"/>
            </w14:solidFill>
          </w14:textFill>
        </w:rPr>
        <w:t xml:space="preserve">小时提交书面延期要求。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关于延期最长不得超过：</w:t>
      </w:r>
      <w:r>
        <w:rPr>
          <w:rFonts w:hint="eastAsia" w:ascii="宋体" w:hAnsi="宋体" w:cs="宋体"/>
          <w:color w:val="000000" w:themeColor="text1"/>
          <w:szCs w:val="21"/>
          <w:highlight w:val="none"/>
          <w:u w:val="single"/>
          <w14:textFill>
            <w14:solidFill>
              <w14:schemeClr w14:val="tx1"/>
            </w14:solidFill>
          </w14:textFill>
        </w:rPr>
        <w:t xml:space="preserve">  24  </w:t>
      </w:r>
      <w:r>
        <w:rPr>
          <w:rFonts w:hint="eastAsia" w:ascii="宋体" w:hAnsi="宋体" w:cs="宋体"/>
          <w:color w:val="000000" w:themeColor="text1"/>
          <w:szCs w:val="21"/>
          <w:highlight w:val="none"/>
          <w14:textFill>
            <w14:solidFill>
              <w14:schemeClr w14:val="tx1"/>
            </w14:solidFill>
          </w14:textFill>
        </w:rPr>
        <w:t xml:space="preserve">小时。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189" w:name="_Toc351203638"/>
      <w:r>
        <w:rPr>
          <w:rFonts w:hint="eastAsia" w:ascii="宋体" w:hAnsi="宋体" w:cs="宋体"/>
          <w:color w:val="000000" w:themeColor="text1"/>
          <w:szCs w:val="21"/>
          <w:highlight w:val="none"/>
          <w14:textFill>
            <w14:solidFill>
              <w14:schemeClr w14:val="tx1"/>
            </w14:solidFill>
          </w14:textFill>
        </w:rPr>
        <w:t xml:space="preserve">6. 安全文明施工与环境保护</w:t>
      </w:r>
      <w:bookmarkEnd w:id="18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 安全文明施工</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 项目安全生产的达标目标及相应事项的约定：</w:t>
      </w:r>
      <w:r>
        <w:rPr>
          <w:rFonts w:hint="eastAsia" w:ascii="宋体" w:hAnsi="宋体" w:cs="宋体"/>
          <w:color w:val="000000" w:themeColor="text1"/>
          <w:szCs w:val="21"/>
          <w:highlight w:val="none"/>
          <w:u w:val="single"/>
          <w14:textFill>
            <w14:solidFill>
              <w14:schemeClr w14:val="tx1"/>
            </w14:solidFill>
          </w14:textFill>
        </w:rPr>
        <w:t xml:space="preserve">本工程必须达到安全文明工地的相关要求。发包人将在施工管理过程中组织对现场安全文明评分，评分细则与相关规费挂钩，不符合规定的将采取经济处罚；若发生安全事故，承包人承担全部责任，与发包人无关。承包人应按规定立即报告建设主管部门并通知发包人和监理。如因此造成发包人承担责任的，发包人有权向承包人索赔。</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6.1.4 关于治安保卫的特别约定：</w:t>
      </w:r>
      <w:r>
        <w:rPr>
          <w:rFonts w:hint="eastAsia" w:hAnsi="宋体" w:cs="宋体"/>
          <w:color w:val="000000" w:themeColor="text1"/>
          <w:sz w:val="21"/>
          <w:szCs w:val="21"/>
          <w:highlight w:val="none"/>
          <w:u w:val="single"/>
          <w14:textFill>
            <w14:solidFill>
              <w14:schemeClr w14:val="tx1"/>
            </w14:solidFill>
          </w14:textFill>
        </w:rPr>
        <w:t xml:space="preserve">必须建立现场治安保卫体系，专人专岗。</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关于编制施工场地治安管理计划的约定：</w:t>
      </w:r>
      <w:r>
        <w:rPr>
          <w:rFonts w:hint="eastAsia" w:ascii="宋体" w:hAnsi="宋体" w:cs="宋体"/>
          <w:color w:val="000000" w:themeColor="text1"/>
          <w:szCs w:val="21"/>
          <w:highlight w:val="none"/>
          <w:u w:val="single"/>
          <w14:textFill>
            <w14:solidFill>
              <w14:schemeClr w14:val="tx1"/>
            </w14:solidFill>
          </w14:textFill>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6.1.5 文明施工</w:t>
      </w:r>
      <w:r/>
    </w:p>
    <w:p>
      <w:pPr>
        <w:pStyle w:val="1102"/>
        <w:ind w:firstLine="420"/>
        <w:spacing w:line="360" w:lineRule="auto"/>
        <w:rPr>
          <w:rFonts w:hAnsi="宋体" w:cs="宋体"/>
          <w:b/>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合同当事人对文明施工的要求：</w:t>
      </w:r>
      <w:r>
        <w:rPr>
          <w:rFonts w:hint="eastAsia" w:hAnsi="宋体" w:cs="宋体"/>
          <w:color w:val="000000" w:themeColor="text1"/>
          <w:sz w:val="21"/>
          <w:szCs w:val="21"/>
          <w:highlight w:val="none"/>
          <w:u w:val="single"/>
          <w14:textFill>
            <w14:solidFill>
              <w14:schemeClr w14:val="tx1"/>
            </w14:solidFill>
          </w14:textFill>
        </w:rPr>
        <w:t xml:space="preserve">设置冲洗台，保证现场及城市路面清洁，做好现场防扬尘等措施。承包人必须做到随时将现场垃圾清理出场，政府有关部门收取的生活垃圾处理费由承包人承担，相关费用在投标时综合考虑。现场办公区、生活区必须做好全部硬化、排</w:t>
      </w:r>
      <w:r>
        <w:rPr>
          <w:rFonts w:hint="eastAsia" w:hAnsi="宋体" w:cs="宋体"/>
          <w:color w:val="000000" w:themeColor="text1"/>
          <w:sz w:val="21"/>
          <w:szCs w:val="21"/>
          <w:highlight w:val="none"/>
          <w:u w:val="single"/>
          <w14:textFill>
            <w14:solidFill>
              <w14:schemeClr w14:val="tx1"/>
            </w14:solidFill>
          </w14:textFill>
        </w:rPr>
        <w:t xml:space="preserve">水、环境布置等工作。现场搭设的临时设施需满足国家及扬州市相关消防管理规定，由此发生的一切费用及责任由承包人承担。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现场临设的布置及其环境的日常管理及上述安全文明工作必须按照发包人要求执行，该部分费用包括在投标报价中，不另行收取。若不按其实施，发包人有权扣除相关部分安全文明设施费。</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6.1.6 关于安全文明施工费支付比例和支付期限的约定：</w:t>
      </w:r>
      <w:r>
        <w:rPr>
          <w:rFonts w:hint="eastAsia" w:ascii="宋体" w:hAnsi="宋体" w:cs="宋体"/>
          <w:color w:val="000000" w:themeColor="text1"/>
          <w:szCs w:val="21"/>
          <w:highlight w:val="none"/>
          <w:u w:val="single"/>
          <w14:textFill>
            <w14:solidFill>
              <w14:schemeClr w14:val="tx1"/>
            </w14:solidFill>
          </w14:textFill>
        </w:rPr>
        <w:t xml:space="preserve"> 随工程进度款支付，最终以行政主管部门核定标准，在工程尾款里扣除或支付。 </w:t>
      </w:r>
      <w:bookmarkEnd w:id="182"/>
      <w:r/>
      <w:bookmarkEnd w:id="183"/>
      <w:r/>
      <w:bookmarkEnd w:id="184"/>
      <w:r/>
      <w:bookmarkEnd w:id="185"/>
      <w:r/>
      <w:bookmarkEnd w:id="186"/>
      <w:r/>
      <w:bookmarkEnd w:id="187"/>
      <w:r/>
      <w:bookmarkEnd w:id="188"/>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190" w:name="_Toc351203639"/>
      <w:r>
        <w:rPr>
          <w:rFonts w:hint="eastAsia" w:ascii="宋体" w:hAnsi="宋体" w:cs="宋体"/>
          <w:color w:val="000000" w:themeColor="text1"/>
          <w:szCs w:val="21"/>
          <w:highlight w:val="none"/>
          <w14:textFill>
            <w14:solidFill>
              <w14:schemeClr w14:val="tx1"/>
            </w14:solidFill>
          </w14:textFill>
        </w:rPr>
        <w:t xml:space="preserve">7. 工期和进度</w:t>
      </w:r>
      <w:bookmarkEnd w:id="190"/>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 施工组织设计</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 合同当事人约定的施工组织设计应包括的其他内容：</w:t>
      </w:r>
      <w:r>
        <w:rPr>
          <w:rFonts w:hint="eastAsia" w:ascii="宋体" w:hAnsi="宋体" w:cs="宋体"/>
          <w:color w:val="000000" w:themeColor="text1"/>
          <w:szCs w:val="21"/>
          <w:highlight w:val="none"/>
          <w:u w:val="single"/>
          <w14:textFill>
            <w14:solidFill>
              <w14:schemeClr w14:val="tx1"/>
            </w14:solidFill>
          </w14:textFill>
        </w:rPr>
        <w:t xml:space="preserve">（1）施工方案；（2）施工现场平面布置图；（3）施工进度计划和保证措施；（4）劳动力及材料供应计划；（5）施工机械设备的选用；（6）质量保证体系及措施；（7）安全生产、文明施工措施；（8）环境保护、成本控制措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 施工组织设计的提交和修改</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outlineLvl w:val="0"/>
      </w:pPr>
      <w:r/>
      <w:bookmarkStart w:id="191" w:name="_Toc5896"/>
      <w:r/>
      <w:bookmarkStart w:id="192" w:name="_Toc28889"/>
      <w:r>
        <w:rPr>
          <w:rFonts w:hint="eastAsia" w:hAnsi="宋体" w:cs="宋体"/>
          <w:color w:val="000000" w:themeColor="text1"/>
          <w:sz w:val="21"/>
          <w:szCs w:val="21"/>
          <w:highlight w:val="none"/>
          <w14:textFill>
            <w14:solidFill>
              <w14:schemeClr w14:val="tx1"/>
            </w14:solidFill>
          </w14:textFill>
        </w:rPr>
        <w:t xml:space="preserve">承包人提交详细施工组织设计的期限的约定：</w:t>
      </w:r>
      <w:r>
        <w:rPr>
          <w:rFonts w:hint="eastAsia" w:hAnsi="宋体" w:cs="宋体"/>
          <w:color w:val="000000" w:themeColor="text1"/>
          <w:sz w:val="21"/>
          <w:szCs w:val="21"/>
          <w:highlight w:val="none"/>
          <w:u w:val="single"/>
          <w14:textFill>
            <w14:solidFill>
              <w14:schemeClr w14:val="tx1"/>
            </w14:solidFill>
          </w14:textFill>
        </w:rPr>
        <w:t xml:space="preserve"> 开工前7天提供全部工程施工组织设计和进度计划，并报监理批准。（批准和未批准的施工组织设计和进度计划均需同时送报业主备案）。</w:t>
      </w:r>
      <w:bookmarkEnd w:id="191"/>
      <w:r/>
      <w:bookmarkEnd w:id="19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发包人和监理人在收到详细的施工组织设计后确认或提出修改意见的期限：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193" w:name="_Toc303539123"/>
      <w:r/>
      <w:bookmarkStart w:id="194" w:name="_Toc312677479"/>
      <w:r/>
      <w:bookmarkStart w:id="195" w:name="_Toc297123514"/>
      <w:r/>
      <w:bookmarkStart w:id="196" w:name="_Toc297216173"/>
      <w:r/>
      <w:bookmarkStart w:id="197" w:name="_Toc304295541"/>
      <w:r/>
      <w:bookmarkStart w:id="198" w:name="_Toc300934966"/>
      <w:r/>
      <w:bookmarkStart w:id="199" w:name="_Toc312678005"/>
      <w:r>
        <w:rPr>
          <w:rFonts w:hint="eastAsia" w:ascii="宋体" w:hAnsi="宋体" w:cs="宋体"/>
          <w:color w:val="000000" w:themeColor="text1"/>
          <w:szCs w:val="21"/>
          <w:highlight w:val="none"/>
          <w14:textFill>
            <w14:solidFill>
              <w14:schemeClr w14:val="tx1"/>
            </w14:solidFill>
          </w14:textFill>
        </w:rPr>
        <w:t xml:space="preserve">.2 施工进度计划</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7.2.2 施工进度计划的修订</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Cs w:val="21"/>
          <w:highlight w:val="none"/>
          <w:u w:val="single"/>
          <w14:textFill>
            <w14:solidFill>
              <w14:schemeClr w14:val="tx1"/>
            </w14:solidFill>
          </w14:textFill>
        </w:rPr>
        <w:t xml:space="preserve">送达后5日历天内。</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 开工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7.3.1 开工准备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关于承包人提交工程开工报审表的期限：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关于发包人应完成的其他开工准备工作及期限：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关于承包人应完成的其他开工准备工作及期限：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7.3.2 开工通知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因发包人原因造成监理人未能在计划开工日期之日起</w:t>
      </w:r>
      <w:r>
        <w:rPr>
          <w:rFonts w:hint="eastAsia" w:ascii="宋体" w:hAnsi="宋体" w:cs="宋体"/>
          <w:color w:val="000000" w:themeColor="text1"/>
          <w:szCs w:val="21"/>
          <w:highlight w:val="none"/>
          <w:u w:val="single"/>
          <w14:textFill>
            <w14:solidFill>
              <w14:schemeClr w14:val="tx1"/>
            </w14:solidFill>
          </w14:textFill>
        </w:rPr>
        <w:t xml:space="preserve"> 30</w:t>
      </w:r>
      <w:r>
        <w:rPr>
          <w:rFonts w:hint="eastAsia" w:ascii="宋体" w:hAnsi="宋体" w:cs="宋体"/>
          <w:color w:val="000000" w:themeColor="text1"/>
          <w:szCs w:val="21"/>
          <w:highlight w:val="none"/>
          <w14:textFill>
            <w14:solidFill>
              <w14:schemeClr w14:val="tx1"/>
            </w14:solidFill>
          </w14:textFill>
        </w:rPr>
        <w:t xml:space="preserve">天内发出开工通知的，承包人有权提出价格调整要求，或者解除合同。</w:t>
      </w:r>
      <w:bookmarkEnd w:id="193"/>
      <w:r/>
      <w:bookmarkEnd w:id="194"/>
      <w:r/>
      <w:bookmarkEnd w:id="195"/>
      <w:r/>
      <w:bookmarkEnd w:id="196"/>
      <w:r/>
      <w:bookmarkEnd w:id="197"/>
      <w:r/>
      <w:bookmarkEnd w:id="198"/>
      <w:r/>
      <w:bookmarkEnd w:id="199"/>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 测量放线</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7.4.1 发包人通过监理人向承包人提供测量基准点、基准线和水准点及其书面资料的期限：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00" w:name="_Toc300934968"/>
      <w:r/>
      <w:bookmarkStart w:id="201" w:name="_Toc303539125"/>
      <w:r/>
      <w:bookmarkStart w:id="202" w:name="_Toc312678010"/>
      <w:r/>
      <w:bookmarkStart w:id="203" w:name="_Toc312677484"/>
      <w:r/>
      <w:bookmarkStart w:id="204" w:name="_Toc297123516"/>
      <w:r/>
      <w:bookmarkStart w:id="205" w:name="_Toc304295546"/>
      <w:r/>
      <w:bookmarkStart w:id="206" w:name="_Toc297216175"/>
      <w:r>
        <w:rPr>
          <w:rFonts w:hint="eastAsia" w:ascii="宋体" w:hAnsi="宋体" w:cs="宋体"/>
          <w:color w:val="000000" w:themeColor="text1"/>
          <w:szCs w:val="21"/>
          <w:highlight w:val="none"/>
          <w14:textFill>
            <w14:solidFill>
              <w14:schemeClr w14:val="tx1"/>
            </w14:solidFill>
          </w14:textFill>
        </w:rPr>
        <w:t xml:space="preserve">.5 工期延误</w:t>
      </w:r>
      <w:bookmarkEnd w:id="200"/>
      <w:r/>
      <w:bookmarkEnd w:id="201"/>
      <w:r/>
      <w:bookmarkEnd w:id="202"/>
      <w:r/>
      <w:bookmarkEnd w:id="203"/>
      <w:r/>
      <w:bookmarkEnd w:id="204"/>
      <w:r/>
      <w:bookmarkEnd w:id="205"/>
      <w:r/>
      <w:bookmarkEnd w:id="20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7.5.1 因发包人原因导致工期延误</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（7）因发包人原因导致工期延误的其他情形：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发包人未能及时组织设计交底。因发包人原因造成的工期延误，且该项延误对关键线路的工期造成延误时，工期予以顺延。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07" w:name="_Toc312677486"/>
      <w:r/>
      <w:bookmarkStart w:id="208" w:name="_Toc312678012"/>
      <w:r/>
      <w:bookmarkStart w:id="209" w:name="_Toc318581169"/>
      <w:r/>
      <w:bookmarkStart w:id="210" w:name="_Toc303539127"/>
      <w:r/>
      <w:bookmarkStart w:id="211" w:name="_Toc297216177"/>
      <w:r/>
      <w:bookmarkStart w:id="212" w:name="_Toc297123518"/>
      <w:r/>
      <w:bookmarkStart w:id="213" w:name="_Toc300934970"/>
      <w:r/>
      <w:bookmarkStart w:id="214" w:name="_Toc304295548"/>
      <w:r>
        <w:rPr>
          <w:rFonts w:hint="eastAsia" w:ascii="宋体" w:hAnsi="宋体" w:cs="宋体"/>
          <w:color w:val="000000" w:themeColor="text1"/>
          <w:szCs w:val="21"/>
          <w:highlight w:val="none"/>
          <w14:textFill>
            <w14:solidFill>
              <w14:schemeClr w14:val="tx1"/>
            </w14:solidFill>
          </w14:textFill>
        </w:rPr>
        <w:t xml:space="preserve">.5.2 因承包人原因导致工期延误</w:t>
      </w:r>
      <w:bookmarkEnd w:id="207"/>
      <w:r/>
      <w:bookmarkEnd w:id="208"/>
      <w:r/>
      <w:bookmarkEnd w:id="209"/>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w:t>
      </w:r>
      <w:bookmarkStart w:id="215" w:name="_Toc312677487"/>
      <w:r/>
      <w:bookmarkStart w:id="216" w:name="_Toc312678013"/>
      <w:r/>
      <w:bookmarkStart w:id="217" w:name="_Toc318581170"/>
      <w:r>
        <w:rPr>
          <w:rFonts w:hint="eastAsia" w:ascii="宋体" w:hAnsi="宋体" w:cs="宋体"/>
          <w:color w:val="000000" w:themeColor="text1"/>
          <w:szCs w:val="21"/>
          <w:highlight w:val="none"/>
          <w14:textFill>
            <w14:solidFill>
              <w14:schemeClr w14:val="tx1"/>
            </w14:solidFill>
          </w14:textFill>
        </w:rPr>
        <w:t xml:space="preserve">承包人原因造成工期延误，逾期竣工违约金的计算方法为：</w:t>
      </w:r>
      <w:bookmarkEnd w:id="210"/>
      <w:r/>
      <w:bookmarkEnd w:id="211"/>
      <w:r/>
      <w:bookmarkEnd w:id="212"/>
      <w:r/>
      <w:bookmarkEnd w:id="213"/>
      <w:r/>
      <w:bookmarkEnd w:id="214"/>
      <w:r/>
      <w:bookmarkEnd w:id="215"/>
      <w:r/>
      <w:bookmarkEnd w:id="216"/>
      <w:r/>
      <w:r/>
    </w:p>
    <w:p>
      <w:pPr>
        <w:pStyle w:val="1102"/>
        <w:ind w:firstLine="420"/>
        <w:spacing w:line="360" w:lineRule="auto"/>
        <w:rPr>
          <w:rFonts w:hAnsi="宋体" w:cs="宋体"/>
          <w:bCs/>
          <w:color w:val="000000" w:themeColor="text1"/>
          <w:sz w:val="21"/>
          <w:szCs w:val="21"/>
          <w:highlight w:val="none"/>
          <w:u w:val="single"/>
          <w14:textFill>
            <w14:solidFill>
              <w14:schemeClr w14:val="tx1"/>
            </w14:solidFill>
          </w14:textFill>
        </w:rPr>
      </w:pPr>
      <w:r>
        <w:rPr>
          <w:rFonts w:hint="eastAsia" w:hAnsi="宋体" w:cs="宋体"/>
          <w:bCs/>
          <w:color w:val="000000" w:themeColor="text1"/>
          <w:sz w:val="21"/>
          <w:szCs w:val="21"/>
          <w:highlight w:val="none"/>
          <w:u w:val="single"/>
          <w14:textFill>
            <w14:solidFill>
              <w14:schemeClr w14:val="tx1"/>
            </w14:solidFill>
          </w14:textFill>
        </w:rPr>
        <w:t xml:space="preserve">发包人有权追究承包人延误工期的违约责任，每逾期一天，承包人按照 2000 元/天向发包人支付违约金。如实际施工节点工期超过投标文件中计划节点工期5日，发包人有权按上述条款追究承包人违约责任并解除合同，承包人还应赔偿因其违约给发包人造成的所有损失。</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因承包人原因造成工期延误，逾</w:t>
      </w:r>
      <w:bookmarkStart w:id="218" w:name="_Toc312678014"/>
      <w:r/>
      <w:bookmarkStart w:id="219" w:name="_Toc318581171"/>
      <w:r>
        <w:rPr>
          <w:rFonts w:hint="eastAsia" w:ascii="宋体" w:hAnsi="宋体" w:cs="宋体"/>
          <w:color w:val="000000" w:themeColor="text1"/>
          <w:szCs w:val="21"/>
          <w:highlight w:val="none"/>
          <w14:textFill>
            <w14:solidFill>
              <w14:schemeClr w14:val="tx1"/>
            </w14:solidFill>
          </w14:textFill>
        </w:rPr>
        <w:t xml:space="preserve">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合同价的10%</w:t>
      </w:r>
      <w:r>
        <w:rPr>
          <w:rFonts w:hint="eastAsia" w:ascii="宋体" w:hAnsi="宋体" w:cs="宋体"/>
          <w:color w:val="000000" w:themeColor="text1"/>
          <w:szCs w:val="21"/>
          <w:highlight w:val="none"/>
          <w14:textFill>
            <w14:solidFill>
              <w14:schemeClr w14:val="tx1"/>
            </w14:solidFill>
          </w14:textFill>
        </w:rPr>
        <w:t xml:space="preserve">。   </w:t>
      </w:r>
      <w:bookmarkEnd w:id="217"/>
      <w:r/>
      <w:bookmarkEnd w:id="218"/>
      <w:r/>
      <w:bookmarkEnd w:id="219"/>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20" w:name="_Toc297123519"/>
      <w:r/>
      <w:bookmarkStart w:id="221" w:name="_Toc304295549"/>
      <w:r/>
      <w:bookmarkStart w:id="222" w:name="_Toc297216178"/>
      <w:r/>
      <w:bookmarkStart w:id="223" w:name="_Toc300934971"/>
      <w:r/>
      <w:bookmarkStart w:id="224" w:name="_Toc312678015"/>
      <w:r/>
      <w:bookmarkStart w:id="225" w:name="_Toc303539128"/>
      <w:r>
        <w:rPr>
          <w:rFonts w:hint="eastAsia" w:ascii="宋体" w:hAnsi="宋体" w:cs="宋体"/>
          <w:color w:val="000000" w:themeColor="text1"/>
          <w:szCs w:val="21"/>
          <w:highlight w:val="none"/>
          <w14:textFill>
            <w14:solidFill>
              <w14:schemeClr w14:val="tx1"/>
            </w14:solidFill>
          </w14:textFill>
        </w:rPr>
        <w:t xml:space="preserve">.6 不</w:t>
      </w:r>
      <w:bookmarkEnd w:id="220"/>
      <w:r/>
      <w:bookmarkEnd w:id="221"/>
      <w:r/>
      <w:bookmarkEnd w:id="222"/>
      <w:r/>
      <w:bookmarkEnd w:id="223"/>
      <w:r/>
      <w:bookmarkEnd w:id="224"/>
      <w:r/>
      <w:bookmarkEnd w:id="225"/>
      <w:r>
        <w:rPr>
          <w:rFonts w:hint="eastAsia" w:ascii="宋体" w:hAnsi="宋体" w:cs="宋体"/>
          <w:color w:val="000000" w:themeColor="text1"/>
          <w:szCs w:val="21"/>
          <w:highlight w:val="none"/>
          <w14:textFill>
            <w14:solidFill>
              <w14:schemeClr w14:val="tx1"/>
            </w14:solidFill>
          </w14:textFill>
        </w:rPr>
        <w:t xml:space="preserve">利物质条件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226" w:name="_Toc300934972"/>
      <w:r/>
      <w:bookmarkStart w:id="227" w:name="_Toc318581172"/>
      <w:r/>
      <w:bookmarkStart w:id="228" w:name="_Toc312678016"/>
      <w:r/>
      <w:bookmarkStart w:id="229" w:name="_Toc297123520"/>
      <w:r/>
      <w:bookmarkStart w:id="230" w:name="_Toc304295550"/>
      <w:r/>
      <w:bookmarkStart w:id="231" w:name="_Toc303539129"/>
      <w:r/>
      <w:bookmarkStart w:id="232" w:name="_Toc297216179"/>
      <w:r>
        <w:rPr>
          <w:rFonts w:hint="eastAsia" w:ascii="宋体" w:hAnsi="宋体" w:cs="宋体"/>
          <w:color w:val="000000" w:themeColor="text1"/>
          <w:szCs w:val="21"/>
          <w:highlight w:val="none"/>
          <w14:textFill>
            <w14:solidFill>
              <w14:schemeClr w14:val="tx1"/>
            </w14:solidFill>
          </w14:textFill>
        </w:rPr>
        <w:t xml:space="preserve">不利物质条件的其他情形和有关约定：</w:t>
      </w:r>
      <w:r>
        <w:rPr>
          <w:rFonts w:hint="eastAsia" w:ascii="宋体" w:hAnsi="宋体" w:cs="宋体"/>
          <w:color w:val="000000" w:themeColor="text1"/>
          <w:szCs w:val="21"/>
          <w:highlight w:val="none"/>
          <w:u w:val="single"/>
          <w14:textFill>
            <w14:solidFill>
              <w14:schemeClr w14:val="tx1"/>
            </w14:solidFill>
          </w14:textFill>
        </w:rPr>
        <w:t xml:space="preserve">非承包人原因停水停电连续 24 小时以上的。</w:t>
      </w:r>
      <w:bookmarkEnd w:id="226"/>
      <w:r/>
      <w:bookmarkEnd w:id="227"/>
      <w:r/>
      <w:bookmarkEnd w:id="228"/>
      <w:r/>
      <w:bookmarkEnd w:id="229"/>
      <w:r/>
      <w:bookmarkEnd w:id="230"/>
      <w:r/>
      <w:bookmarkEnd w:id="231"/>
      <w:r/>
      <w:bookmarkEnd w:id="232"/>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33" w:name="_Toc312678017"/>
      <w:r/>
      <w:bookmarkStart w:id="234" w:name="_Toc297123521"/>
      <w:r/>
      <w:bookmarkStart w:id="235" w:name="_Toc297216180"/>
      <w:r/>
      <w:bookmarkStart w:id="236" w:name="_Toc304295551"/>
      <w:r/>
      <w:bookmarkStart w:id="237" w:name="_Toc300934973"/>
      <w:r/>
      <w:bookmarkStart w:id="238" w:name="_Toc303539130"/>
      <w:r>
        <w:rPr>
          <w:rFonts w:hint="eastAsia" w:ascii="宋体" w:hAnsi="宋体" w:cs="宋体"/>
          <w:color w:val="000000" w:themeColor="text1"/>
          <w:szCs w:val="21"/>
          <w:highlight w:val="none"/>
          <w14:textFill>
            <w14:solidFill>
              <w14:schemeClr w14:val="tx1"/>
            </w14:solidFill>
          </w14:textFill>
        </w:rPr>
        <w:t xml:space="preserve">.7 异常恶劣的气候条件</w:t>
      </w:r>
      <w:bookmarkEnd w:id="233"/>
      <w:r/>
      <w:bookmarkEnd w:id="234"/>
      <w:r/>
      <w:bookmarkEnd w:id="235"/>
      <w:r/>
      <w:bookmarkEnd w:id="236"/>
      <w:r/>
      <w:bookmarkEnd w:id="237"/>
      <w:r/>
      <w:bookmarkEnd w:id="23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发包人和承包人同意以下情形视为异常恶劣的气候条件：</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u w:val="single"/>
          <w14:textFill>
            <w14:solidFill>
              <w14:schemeClr w14:val="tx1"/>
            </w14:solidFill>
          </w14:textFill>
        </w:rPr>
        <w:t xml:space="preserve">   地震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   水灾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u w:val="single"/>
          <w14:textFill>
            <w14:solidFill>
              <w14:schemeClr w14:val="tx1"/>
            </w14:solidFill>
          </w14:textFill>
        </w:rPr>
        <w:t xml:space="preserve">   暴风雪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 提前竣工的奖励</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7.9.2 提前竣工的奖励：</w:t>
      </w:r>
      <w:r>
        <w:rPr>
          <w:rFonts w:hint="eastAsia" w:ascii="宋体" w:hAnsi="宋体" w:cs="宋体"/>
          <w:color w:val="000000" w:themeColor="text1"/>
          <w:szCs w:val="21"/>
          <w:highlight w:val="none"/>
          <w:u w:val="single"/>
          <w14:textFill>
            <w14:solidFill>
              <w14:schemeClr w14:val="tx1"/>
            </w14:solidFill>
          </w14:textFill>
        </w:rPr>
        <w:t xml:space="preserve">提前不奖励。</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239" w:name="_Toc351203640"/>
      <w:r>
        <w:rPr>
          <w:rFonts w:hint="eastAsia" w:ascii="宋体" w:hAnsi="宋体" w:cs="宋体"/>
          <w:color w:val="000000" w:themeColor="text1"/>
          <w:szCs w:val="21"/>
          <w:highlight w:val="none"/>
          <w14:textFill>
            <w14:solidFill>
              <w14:schemeClr w14:val="tx1"/>
            </w14:solidFill>
          </w14:textFill>
        </w:rPr>
        <w:t xml:space="preserve">8. 材料与设备</w:t>
      </w:r>
      <w:bookmarkEnd w:id="239"/>
      <w:r/>
      <w:r/>
    </w:p>
    <w:p>
      <w:pPr>
        <w:pStyle w:val="1102"/>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8.2 承包人采购材料与验收</w:t>
      </w:r>
      <w:r/>
    </w:p>
    <w:p>
      <w:pPr>
        <w:pStyle w:val="1102"/>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（1） 双方约定由承包人采购的材料必须是优质产品，必须符合有关规范、设计图纸、招标文件规定的质量要求，并提供产品的样品，报发包人、监理、设计单位确认。承包人进场材料的样品必须经发包人和监理验收认可，经验收合格的材料方可批量进场（样品由发包人封存，承包人必须保证施工中材料设备质量与样品一致） ，否则，造成的损失由承包人承担； 承包人在材料设备到货前 24 小时通知发包人和监理工程师验收。发包人可随时抽查。</w:t>
      </w:r>
      <w:r/>
    </w:p>
    <w:p>
      <w:pPr>
        <w:pStyle w:val="1102"/>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（2） 承包人采购的材料与设计标准不符时，承包人应按发包人要求的时间运出施工场地，重新采购符合要求的产品，承担由此产生的费用，由此延误的工期不予顺延。</w:t>
      </w:r>
      <w:r/>
    </w:p>
    <w:p>
      <w:pPr>
        <w:pStyle w:val="1102"/>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3）属承包人自行采购的材料，承包人应在订货前必须将样品送监理和发包人对其质量、规格型号、外观、技术参数等予以认定，该认定不免除承包人应承担的责任。经发包人和监理确认的样品，承包人不得任意更换，否则，必须无条件全面返工，相应货品全部退货，工期不得顺延，同时向发包人支付该批材料价款的5%作为违约金。如承包人使用不合格或不符合发包人要求的材料,即使承包人在采购之前依照本条款的规定经过发包人和监理的认定,也不能免除更换材料、赔偿损失及其他等发包人要求承包人承担的责任。</w:t>
      </w:r>
      <w:r/>
    </w:p>
    <w:p>
      <w:pPr>
        <w:pStyle w:val="1102"/>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（4） 承包人供应的材料必须保证质量，使用中如发现有质量问题，承包人承担返工的全部损失并赔偿由此给发包人带来的损失。发包人发现承包人采购并使用不符合设计和标准要求的材料时，应要求承包人负责修复、拆除或重新采购，由承包人承担发生的费用，由此延误的工期不予顺延。</w:t>
      </w:r>
      <w:r/>
    </w:p>
    <w:p>
      <w:pPr>
        <w:pStyle w:val="1102"/>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（5）发包人对该部分材料质量具有检查监督权利，对材料的使用具有否决权，如遇到材料涨价，承包人不能以降低材料品质、档次来抵消风险，也不能要求由发包人供应。</w:t>
      </w:r>
      <w:r/>
    </w:p>
    <w:p>
      <w:pPr>
        <w:pStyle w:val="1102"/>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（6）承包人需要使用代用材料时，应经发包人和总监理工程师认可后才能使用，由此增减的合同价款双方以书面的形式议定。</w:t>
      </w:r>
      <w:r/>
    </w:p>
    <w:p>
      <w:pPr>
        <w:pStyle w:val="1102"/>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7）本工程所有材料满足工程量清单及施工图纸的技术需求，同时还应满足发包人提供的技术需求，并以最高技术要求为准。满足设计功能需求的相关费用包含在投标报价中，承包人投标时已自行考虑，不另支付。</w:t>
      </w:r>
      <w:r/>
    </w:p>
    <w:p>
      <w:pPr>
        <w:pStyle w:val="1102"/>
        <w:ind w:firstLine="420"/>
        <w:spacing w:line="360" w:lineRule="auto"/>
        <w:widowControl/>
        <w:rPr>
          <w:rFonts w:hAnsi="宋体" w:cs="宋体"/>
          <w:color w:val="000000" w:themeColor="text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（8）根据招标文件中提供的物料清单，列出相应材料的品牌、规格、材质、型号、质量等级、单价、数量等内容的统计表。</w:t>
      </w:r>
      <w:bookmarkEnd w:id="172"/>
      <w:r/>
      <w:bookmarkEnd w:id="173"/>
      <w:r/>
      <w:bookmarkEnd w:id="174"/>
      <w:r/>
      <w:bookmarkEnd w:id="175"/>
      <w:r/>
      <w:bookmarkEnd w:id="176"/>
      <w:r/>
      <w:bookmarkEnd w:id="177"/>
      <w:r/>
      <w:bookmarkEnd w:id="178"/>
      <w:r/>
      <w:bookmarkEnd w:id="179"/>
      <w:r/>
      <w:bookmarkEnd w:id="180"/>
      <w:r/>
      <w:bookmarkEnd w:id="181"/>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bookmarkStart w:id="240" w:name="_Toc297120467"/>
      <w:r/>
      <w:bookmarkStart w:id="241" w:name="_Toc292559877"/>
      <w:r/>
      <w:bookmarkStart w:id="242" w:name="_Toc296891207"/>
      <w:r/>
      <w:bookmarkStart w:id="243" w:name="_Toc296346668"/>
      <w:r/>
      <w:bookmarkStart w:id="244" w:name="_Toc297048353"/>
      <w:r/>
      <w:bookmarkStart w:id="245" w:name="_Toc303539136"/>
      <w:r/>
      <w:bookmarkStart w:id="246" w:name="_Toc296503167"/>
      <w:r/>
      <w:bookmarkStart w:id="247" w:name="_Toc312677493"/>
      <w:r/>
      <w:bookmarkStart w:id="248" w:name="_Toc296347166"/>
      <w:r/>
      <w:bookmarkStart w:id="249" w:name="_Toc296944506"/>
      <w:r/>
      <w:bookmarkStart w:id="250" w:name="_Toc297123527"/>
      <w:r/>
      <w:bookmarkStart w:id="251" w:name="_Toc292559372"/>
      <w:r/>
      <w:bookmarkStart w:id="252" w:name="_Toc312678019"/>
      <w:r/>
      <w:bookmarkStart w:id="253" w:name="_Toc304295556"/>
      <w:r/>
      <w:bookmarkStart w:id="254" w:name="_Toc296890995"/>
      <w:r/>
      <w:bookmarkStart w:id="255" w:name="_Toc280868654"/>
      <w:r/>
      <w:bookmarkStart w:id="256" w:name="_Toc297216186"/>
      <w:r/>
      <w:bookmarkStart w:id="257" w:name="_Toc300934979"/>
      <w:r/>
      <w:bookmarkStart w:id="258" w:name="_Toc280868655"/>
      <w:r/>
      <w:bookmarkStart w:id="259" w:name="_Toc267251424"/>
      <w:r/>
      <w:bookmarkStart w:id="260" w:name="_Toc280868656"/>
      <w:r>
        <w:rPr>
          <w:rFonts w:hint="eastAsia" w:ascii="宋体" w:hAnsi="宋体" w:cs="宋体"/>
          <w:color w:val="000000" w:themeColor="text1"/>
          <w:szCs w:val="21"/>
          <w:highlight w:val="none"/>
          <w14:textFill>
            <w14:solidFill>
              <w14:schemeClr w14:val="tx1"/>
            </w14:solidFill>
          </w14:textFill>
        </w:rPr>
        <w:t xml:space="preserve">.4 材料与工程设备的保管与使用</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bookmarkStart w:id="261" w:name="_Toc292559878"/>
      <w:r/>
      <w:bookmarkStart w:id="262" w:name="_Toc292559373"/>
      <w:r/>
      <w:bookmarkStart w:id="263" w:name="_Toc300934980"/>
      <w:r/>
      <w:bookmarkStart w:id="264" w:name="_Toc296891208"/>
      <w:r/>
      <w:bookmarkStart w:id="265" w:name="_Toc297216187"/>
      <w:r/>
      <w:bookmarkStart w:id="266" w:name="_Toc296347167"/>
      <w:r/>
      <w:bookmarkStart w:id="267" w:name="_Toc296346669"/>
      <w:r/>
      <w:bookmarkStart w:id="268" w:name="_Toc297120468"/>
      <w:r/>
      <w:bookmarkStart w:id="269" w:name="_Toc312678020"/>
      <w:r/>
      <w:bookmarkStart w:id="270" w:name="_Toc312677494"/>
      <w:r/>
      <w:bookmarkStart w:id="271" w:name="_Toc297048354"/>
      <w:r/>
      <w:bookmarkStart w:id="272" w:name="_Toc303539137"/>
      <w:r/>
      <w:bookmarkStart w:id="273" w:name="_Toc296890996"/>
      <w:r/>
      <w:bookmarkStart w:id="274" w:name="_Toc318581173"/>
      <w:r/>
      <w:bookmarkStart w:id="275" w:name="_Toc296503168"/>
      <w:r/>
      <w:bookmarkStart w:id="276" w:name="_Toc297123528"/>
      <w:r/>
      <w:bookmarkStart w:id="277" w:name="_Toc296944507"/>
      <w:r/>
      <w:bookmarkStart w:id="278" w:name="_Toc304295557"/>
      <w:r>
        <w:rPr>
          <w:rFonts w:hint="eastAsia" w:ascii="宋体" w:hAnsi="宋体" w:cs="宋体"/>
          <w:color w:val="000000" w:themeColor="text1"/>
          <w:szCs w:val="21"/>
          <w:highlight w:val="none"/>
          <w14:textFill>
            <w14:solidFill>
              <w14:schemeClr w14:val="tx1"/>
            </w14:solidFill>
          </w14:textFill>
        </w:rPr>
        <w:t xml:space="preserve">.4.1 发包人供应的材料设备的保管费用的承担：</w:t>
      </w:r>
      <w:r>
        <w:rPr>
          <w:rFonts w:hint="eastAsia" w:ascii="宋体" w:hAnsi="宋体" w:cs="宋体"/>
          <w:color w:val="000000" w:themeColor="text1"/>
          <w:szCs w:val="21"/>
          <w:highlight w:val="none"/>
          <w:u w:val="single"/>
          <w14:textFill>
            <w14:solidFill>
              <w14:schemeClr w14:val="tx1"/>
            </w14:solidFill>
          </w14:textFill>
        </w:rPr>
        <w:t xml:space="preserve">   /   </w:t>
      </w:r>
      <w:bookmarkEnd w:id="261"/>
      <w:r/>
      <w:bookmarkEnd w:id="262"/>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 样品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8.6.1 样品的报送与封存</w:t>
      </w:r>
      <w:r/>
    </w:p>
    <w:p>
      <w:pPr>
        <w:pStyle w:val="1102"/>
        <w:ind w:left="479"/>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需要承包人报送样品的材料或工程设备，样品的种类、名称、规格、数量要求：</w:t>
      </w:r>
      <w:r/>
    </w:p>
    <w:p>
      <w:pPr>
        <w:pStyle w:val="1102"/>
        <w:ind w:left="479"/>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w:t>
      </w:r>
      <w:r>
        <w:rPr>
          <w:rFonts w:hint="eastAsia" w:hAnsi="宋体" w:cs="宋体"/>
          <w:color w:val="000000" w:themeColor="text1"/>
          <w:sz w:val="21"/>
          <w:szCs w:val="21"/>
          <w:highlight w:val="none"/>
          <w:u w:val="single"/>
          <w14:textFill>
            <w14:solidFill>
              <w14:schemeClr w14:val="tx1"/>
            </w14:solidFill>
          </w14:textFill>
        </w:rPr>
        <w:t xml:space="preserve">承包人采购材料设备设施：其采购、运输、验收、检验、保管等费用由承包人</w:t>
      </w:r>
      <w:r/>
    </w:p>
    <w:p>
      <w:pPr>
        <w:pStyle w:val="1102"/>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负责。</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w:t>
      </w:r>
      <w:r>
        <w:rPr>
          <w:rFonts w:hint="eastAsia" w:hAnsi="宋体" w:cs="宋体"/>
          <w:color w:val="000000" w:themeColor="text1"/>
          <w:sz w:val="21"/>
          <w:szCs w:val="21"/>
          <w:highlight w:val="none"/>
          <w:u w:val="single"/>
          <w14:textFill>
            <w14:solidFill>
              <w14:schemeClr w14:val="tx1"/>
            </w14:solidFill>
          </w14:textFill>
        </w:rPr>
        <w:t xml:space="preserve">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hAnsi="宋体" w:cs="宋体"/>
          <w:color w:val="000000" w:themeColor="text1"/>
          <w:sz w:val="21"/>
          <w:szCs w:val="21"/>
          <w:highlight w:val="none"/>
          <w:u w:val="single"/>
          <w14:textFill>
            <w14:solidFill>
              <w14:schemeClr w14:val="tx1"/>
            </w14:solidFill>
          </w14:textFill>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102"/>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w:t>
      </w:r>
      <w:r>
        <w:rPr>
          <w:rFonts w:hint="eastAsia" w:hAnsi="宋体" w:cs="宋体"/>
          <w:color w:val="000000" w:themeColor="text1"/>
          <w:sz w:val="21"/>
          <w:szCs w:val="21"/>
          <w:highlight w:val="none"/>
          <w:u w:val="single"/>
          <w14:textFill>
            <w14:solidFill>
              <w14:schemeClr w14:val="tx1"/>
            </w14:solidFill>
          </w14:textFill>
        </w:rPr>
        <w:t xml:space="preserve">承包人采购的材料设备设施不符合设计和标准要求时，承包人应按要求时间运出施工场地，重新采购符合要求的产品，并承担由此产生的费用，由此延误的工期不予顺延。</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w:t>
      </w:r>
      <w:r>
        <w:rPr>
          <w:rFonts w:hint="eastAsia" w:hAnsi="宋体" w:cs="宋体"/>
          <w:color w:val="000000" w:themeColor="text1"/>
          <w:sz w:val="21"/>
          <w:szCs w:val="21"/>
          <w:highlight w:val="none"/>
          <w:u w:val="single"/>
          <w14:textFill>
            <w14:solidFill>
              <w14:schemeClr w14:val="tx1"/>
            </w14:solidFill>
          </w14:textFill>
        </w:rPr>
        <w:t xml:space="preserve">承包人采购的材料设备设施在使用前，承包人应当按要求进行检验或试验，检验合格后方能投入使用。</w:t>
      </w:r>
      <w:r/>
    </w:p>
    <w:p>
      <w:pPr>
        <w:pStyle w:val="1102"/>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（5）</w:t>
      </w:r>
      <w:r>
        <w:rPr>
          <w:rFonts w:hint="eastAsia" w:hAnsi="宋体" w:cs="宋体"/>
          <w:color w:val="000000" w:themeColor="text1"/>
          <w:sz w:val="21"/>
          <w:szCs w:val="21"/>
          <w:highlight w:val="none"/>
          <w:u w:val="single"/>
          <w14:textFill>
            <w14:solidFill>
              <w14:schemeClr w14:val="tx1"/>
            </w14:solidFill>
          </w14:textFill>
        </w:rPr>
        <w:t xml:space="preserve">承包人需要使用代用材料设备设施时，应经发包人和监理工程师认可后才能使用，由此增减的合同价款双方以书面的形式议定。</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 施工设备和临时设施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8.8.1 承包人提供的施工设备和临时设施</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关于修建临时设施费用承担的约定：</w:t>
      </w:r>
      <w:r>
        <w:rPr>
          <w:rFonts w:hint="eastAsia" w:ascii="宋体" w:hAnsi="宋体" w:cs="宋体"/>
          <w:color w:val="000000" w:themeColor="text1"/>
          <w:szCs w:val="21"/>
          <w:highlight w:val="none"/>
          <w:u w:val="single"/>
          <w14:textFill>
            <w14:solidFill>
              <w14:schemeClr w14:val="tx1"/>
            </w14:solidFill>
          </w14:textFill>
        </w:rPr>
        <w:t xml:space="preserve">已含在报价内。</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279" w:name="_Toc351203641"/>
      <w:r>
        <w:rPr>
          <w:rFonts w:hint="eastAsia" w:ascii="宋体" w:hAnsi="宋体" w:cs="宋体"/>
          <w:color w:val="000000" w:themeColor="text1"/>
          <w:szCs w:val="21"/>
          <w:highlight w:val="none"/>
          <w14:textFill>
            <w14:solidFill>
              <w14:schemeClr w14:val="tx1"/>
            </w14:solidFill>
          </w14:textFill>
        </w:rPr>
        <w:t xml:space="preserve">9</w:t>
      </w:r>
      <w:bookmarkEnd w:id="258"/>
      <w:r/>
      <w:bookmarkEnd w:id="259"/>
      <w:r/>
      <w:bookmarkEnd w:id="260"/>
      <w:r/>
      <w:bookmarkStart w:id="280" w:name="_Toc304295559"/>
      <w:r/>
      <w:bookmarkStart w:id="281" w:name="_Toc297216192"/>
      <w:r/>
      <w:bookmarkStart w:id="282" w:name="_Toc300934982"/>
      <w:r/>
      <w:bookmarkStart w:id="283" w:name="_Toc312677495"/>
      <w:r/>
      <w:bookmarkStart w:id="284" w:name="_Toc312678021"/>
      <w:r/>
      <w:bookmarkStart w:id="285" w:name="_Toc303539139"/>
      <w:r/>
      <w:bookmarkStart w:id="286" w:name="_Toc297123533"/>
      <w:r/>
      <w:bookmarkStart w:id="287" w:name="_Toc297048359"/>
      <w:r/>
      <w:bookmarkStart w:id="288" w:name="_Toc267251427"/>
      <w:r/>
      <w:bookmarkStart w:id="289" w:name="_Toc267251428"/>
      <w:r/>
      <w:bookmarkStart w:id="290" w:name="_Toc292559883"/>
      <w:r/>
      <w:bookmarkStart w:id="291" w:name="_Toc296346674"/>
      <w:r/>
      <w:bookmarkStart w:id="292" w:name="_Toc296944512"/>
      <w:r/>
      <w:bookmarkStart w:id="293" w:name="_Toc296891213"/>
      <w:r/>
      <w:bookmarkStart w:id="294" w:name="_Toc296891001"/>
      <w:r/>
      <w:bookmarkStart w:id="295" w:name="_Toc296503173"/>
      <w:r/>
      <w:bookmarkStart w:id="296" w:name="_Toc292559378"/>
      <w:r/>
      <w:bookmarkStart w:id="297" w:name="_Toc297120473"/>
      <w:r/>
      <w:bookmarkStart w:id="298" w:name="_Toc296347172"/>
      <w:r>
        <w:rPr>
          <w:rFonts w:hint="eastAsia" w:ascii="宋体" w:hAnsi="宋体" w:cs="宋体"/>
          <w:color w:val="000000" w:themeColor="text1"/>
          <w:szCs w:val="21"/>
          <w:highlight w:val="none"/>
          <w14:textFill>
            <w14:solidFill>
              <w14:schemeClr w14:val="tx1"/>
            </w14:solidFill>
          </w14:textFill>
        </w:rPr>
        <w:t xml:space="preserve">. 试验与检验</w:t>
      </w:r>
      <w:bookmarkEnd w:id="279"/>
      <w:r/>
      <w:bookmarkEnd w:id="280"/>
      <w:r/>
      <w:bookmarkEnd w:id="281"/>
      <w:r/>
      <w:bookmarkEnd w:id="282"/>
      <w:r/>
      <w:bookmarkEnd w:id="283"/>
      <w:r/>
      <w:bookmarkEnd w:id="284"/>
      <w:r/>
      <w:bookmarkEnd w:id="285"/>
      <w:r/>
      <w:bookmarkEnd w:id="286"/>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bookmarkStart w:id="299" w:name="_Toc297216193"/>
      <w:r/>
      <w:bookmarkStart w:id="300" w:name="_Toc297123534"/>
      <w:r/>
      <w:bookmarkStart w:id="301" w:name="_Toc312678022"/>
      <w:r/>
      <w:bookmarkStart w:id="302" w:name="_Toc304295560"/>
      <w:r/>
      <w:bookmarkStart w:id="303" w:name="_Toc303539140"/>
      <w:r/>
      <w:bookmarkStart w:id="304" w:name="_Toc300934983"/>
      <w:r/>
      <w:bookmarkStart w:id="305" w:name="_Toc312677496"/>
      <w:r>
        <w:rPr>
          <w:rFonts w:hint="eastAsia" w:ascii="宋体" w:hAnsi="宋体" w:cs="宋体"/>
          <w:color w:val="000000" w:themeColor="text1"/>
          <w:szCs w:val="21"/>
          <w:highlight w:val="none"/>
          <w14:textFill>
            <w14:solidFill>
              <w14:schemeClr w14:val="tx1"/>
            </w14:solidFill>
          </w14:textFill>
        </w:rPr>
        <w:t xml:space="preserve">.1 试验设备与试验人员</w:t>
      </w:r>
      <w:bookmarkEnd w:id="299"/>
      <w:r/>
      <w:bookmarkEnd w:id="300"/>
      <w:r/>
      <w:bookmarkEnd w:id="301"/>
      <w:r/>
      <w:bookmarkEnd w:id="302"/>
      <w:r/>
      <w:bookmarkEnd w:id="303"/>
      <w:r/>
      <w:bookmarkEnd w:id="304"/>
      <w:r/>
      <w:bookmarkEnd w:id="305"/>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bookmarkStart w:id="306" w:name="_Toc297123535"/>
      <w:r/>
      <w:bookmarkStart w:id="307" w:name="_Toc300934984"/>
      <w:r/>
      <w:bookmarkStart w:id="308" w:name="_Toc297216194"/>
      <w:r/>
      <w:bookmarkStart w:id="309" w:name="_Toc304295561"/>
      <w:r/>
      <w:bookmarkStart w:id="310" w:name="_Toc303539141"/>
      <w:r/>
      <w:bookmarkStart w:id="311" w:name="_Toc312678023"/>
      <w:r/>
      <w:bookmarkStart w:id="312" w:name="_Toc312677497"/>
      <w:r/>
      <w:bookmarkStart w:id="313" w:name="_Toc318581174"/>
      <w:r>
        <w:rPr>
          <w:rFonts w:hint="eastAsia" w:ascii="宋体" w:hAnsi="宋体" w:cs="宋体"/>
          <w:color w:val="000000" w:themeColor="text1"/>
          <w:szCs w:val="21"/>
          <w:highlight w:val="none"/>
          <w14:textFill>
            <w14:solidFill>
              <w14:schemeClr w14:val="tx1"/>
            </w14:solidFill>
          </w14:textFill>
        </w:rPr>
        <w:t xml:space="preserve">.1.2 试验设备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施工现场需要配置的试验场所：</w:t>
      </w:r>
      <w:bookmarkEnd w:id="306"/>
      <w:r/>
      <w:bookmarkEnd w:id="307"/>
      <w:r/>
      <w:bookmarkEnd w:id="308"/>
      <w:r/>
      <w:bookmarkEnd w:id="309"/>
      <w:r/>
      <w:bookmarkEnd w:id="310"/>
      <w:r/>
      <w:bookmarkEnd w:id="311"/>
      <w:r/>
      <w:bookmarkEnd w:id="312"/>
      <w:r/>
      <w:bookmarkStart w:id="314" w:name="_Toc312678024"/>
      <w:r/>
      <w:bookmarkStart w:id="315" w:name="_Toc300934985"/>
      <w:r/>
      <w:bookmarkStart w:id="316" w:name="_Toc297216195"/>
      <w:r/>
      <w:bookmarkStart w:id="317" w:name="_Toc297123536"/>
      <w:r/>
      <w:bookmarkStart w:id="318" w:name="_Toc304295562"/>
      <w:r/>
      <w:bookmarkStart w:id="319" w:name="_Toc312677498"/>
      <w:r/>
      <w:bookmarkStart w:id="320" w:name="_Toc303539142"/>
      <w:r>
        <w:rPr>
          <w:rFonts w:hint="eastAsia" w:ascii="宋体" w:hAnsi="宋体" w:cs="宋体"/>
          <w:color w:val="000000" w:themeColor="text1"/>
          <w:szCs w:val="21"/>
          <w:highlight w:val="none"/>
          <w:u w:val="single"/>
          <w14:textFill>
            <w14:solidFill>
              <w14:schemeClr w14:val="tx1"/>
            </w14:solidFill>
          </w14:textFill>
        </w:rPr>
        <w:t xml:space="preserve">根据施工组织设计确定。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施工现场需要配备的试验设备：</w:t>
      </w:r>
      <w:r>
        <w:rPr>
          <w:rFonts w:hint="eastAsia" w:ascii="宋体" w:hAnsi="宋体" w:cs="宋体"/>
          <w:color w:val="000000" w:themeColor="text1"/>
          <w:szCs w:val="21"/>
          <w:highlight w:val="none"/>
          <w:u w:val="single"/>
          <w14:textFill>
            <w14:solidFill>
              <w14:schemeClr w14:val="tx1"/>
            </w14:solidFill>
          </w14:textFill>
        </w:rPr>
        <w:t xml:space="preserve">根据施工组织设计确定。</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施工现场需要具备的其他试验条件：</w:t>
      </w:r>
      <w:r>
        <w:rPr>
          <w:rFonts w:hint="eastAsia" w:ascii="宋体" w:hAnsi="宋体" w:cs="宋体"/>
          <w:color w:val="000000" w:themeColor="text1"/>
          <w:szCs w:val="21"/>
          <w:highlight w:val="none"/>
          <w:u w:val="single"/>
          <w14:textFill>
            <w14:solidFill>
              <w14:schemeClr w14:val="tx1"/>
            </w14:solidFill>
          </w14:textFill>
        </w:rPr>
        <w:t xml:space="preserve">根据施工组织设计确定。</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 现场工艺试验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现场工艺试验的有关约定：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 变更</w:t>
      </w:r>
      <w:r/>
    </w:p>
    <w:p>
      <w:pPr>
        <w:ind w:firstLine="21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10.1变更的范围</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关于变更的范围的约定：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21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10.4 变更估计</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10.4.1 变更估价原则</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关于变更估计的约定：</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313"/>
      <w:r/>
      <w:bookmarkEnd w:id="314"/>
      <w:r/>
      <w:bookmarkEnd w:id="315"/>
      <w:r/>
      <w:bookmarkEnd w:id="316"/>
      <w:r/>
      <w:bookmarkEnd w:id="317"/>
      <w:r/>
      <w:bookmarkEnd w:id="318"/>
      <w:r/>
      <w:bookmarkEnd w:id="319"/>
      <w:r/>
      <w:bookmarkEnd w:id="320"/>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bookmarkStart w:id="321" w:name="_Toc267251439"/>
      <w:r/>
      <w:bookmarkStart w:id="322" w:name="_Toc267251440"/>
      <w:r/>
      <w:bookmarkStart w:id="323" w:name="_Toc267251437"/>
      <w:r/>
      <w:bookmarkStart w:id="324" w:name="_Toc267251441"/>
      <w:r/>
      <w:bookmarkStart w:id="325" w:name="_Toc267251435"/>
      <w:r/>
      <w:bookmarkStart w:id="326" w:name="_Toc267251433"/>
      <w:r/>
      <w:bookmarkStart w:id="327" w:name="_Toc267251442"/>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u w:val="single"/>
          <w14:textFill>
            <w14:solidFill>
              <w14:schemeClr w14:val="tx1"/>
            </w14:solidFill>
          </w14:textFill>
        </w:rPr>
        <w:t xml:space="preserve">已标价工程量清单中有相同项目的，按照相同项目单价认定；</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已标价工程量清单中无相同项目，但有类似项目的，参照类似项目的单价认定；</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u w:val="single"/>
          <w14:textFill>
            <w14:solidFill>
              <w14:schemeClr w14:val="tx1"/>
            </w14:solidFill>
          </w14:textFill>
        </w:rPr>
        <w:t xml:space="preserve">已标价工程量清单中无相同项目，也没有类似项目的，由承包人根据工程变更资料、计量规则和计价办法、工程造价管理机构发布的信息价格和承包人报价浮动率提出变更工程项目的单价，报发包人确认后调整。承包人报价浮动率＝【1-(中标价-暂估价-暂列金额)/(招标控制价-暂估价-暂列金额)】*100%。工程造价管理机构发布的信息价格中缺项中，按发承包双方共同询价、认价的方式，按照合理的成本与利润构成的原则确定，并签署书面的认价文件，作为依据。如变更实施时不能达成一致，应先行实施，并按照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u w:val="single"/>
          <w14:textFill>
            <w14:solidFill>
              <w14:schemeClr w14:val="tx1"/>
            </w14:solidFill>
          </w14:textFill>
        </w:rPr>
        <w:t xml:space="preserve">招标工程量清单工程量误差或工程变更导致实际完成的工程量与已标价工程量清单中列明的该项目工程量的变化幅度超过15%的，单价可进行调整。当工程量增加15%以上时，增加部分的工程量综合单价应予调低；当工程量减少15%以上时，减少后部分的工程量综合单价应予调高。</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u w:val="single"/>
          <w14:textFill>
            <w14:solidFill>
              <w14:schemeClr w14:val="tx1"/>
            </w14:solidFill>
          </w14:textFill>
        </w:rPr>
        <w:t xml:space="preserve">招标工程量清单工程量误差或工程变更导致分部分项工程费的变化，总价措施项目中以费率报价的，费率不变；总价项目中以费用报价的，按投标时口径折算成费率。</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因工程变更造成施工方案变更，引起措施项目发生变化时，承包</w:t>
      </w:r>
      <w:r>
        <w:rPr>
          <w:rFonts w:hint="eastAsia" w:ascii="宋体" w:hAnsi="宋体" w:cs="宋体"/>
          <w:color w:val="000000" w:themeColor="text1"/>
          <w:szCs w:val="21"/>
          <w:highlight w:val="none"/>
          <w:u w:val="single"/>
          <w14:textFill>
            <w14:solidFill>
              <w14:schemeClr w14:val="tx1"/>
            </w14:solidFill>
          </w14:textFill>
        </w:rPr>
        <w:t xml:space="preserve">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（7）本合同涉及变更（设计、工程量）同意、批准、确认、审核等行为的，需以书面形式作出。设计变更必须有设计变更图纸。完工后要留有影像资料。</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（8）所有与造价有关变更签证必须在施工前3日历天内提供书面预算供发包人，由建设单位、监理单位、施工单位确认后方可同意实施，否则，发包人将相关变更的价格及工程量不予认可。</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328" w:name="_Toc296347196"/>
      <w:r/>
      <w:bookmarkStart w:id="329" w:name="_Toc296891237"/>
      <w:r/>
      <w:bookmarkStart w:id="330" w:name="_Toc303539150"/>
      <w:r/>
      <w:bookmarkStart w:id="331" w:name="_Toc297120497"/>
      <w:r/>
      <w:bookmarkStart w:id="332" w:name="_Toc297216203"/>
      <w:r/>
      <w:bookmarkStart w:id="333" w:name="_Toc296944536"/>
      <w:r/>
      <w:bookmarkStart w:id="334" w:name="_Toc292559402"/>
      <w:r/>
      <w:bookmarkStart w:id="335" w:name="_Toc296891025"/>
      <w:r/>
      <w:bookmarkStart w:id="336" w:name="_Toc300934993"/>
      <w:r/>
      <w:bookmarkStart w:id="337" w:name="_Toc296346698"/>
      <w:r/>
      <w:bookmarkStart w:id="338" w:name="_Toc297123544"/>
      <w:r/>
      <w:bookmarkStart w:id="339" w:name="_Toc296503197"/>
      <w:r/>
      <w:bookmarkStart w:id="340" w:name="_Toc297048383"/>
      <w:r/>
      <w:bookmarkStart w:id="341" w:name="_Toc292559907"/>
      <w:r/>
      <w:bookmarkStart w:id="342" w:name="_Toc312677503"/>
      <w:r/>
      <w:bookmarkStart w:id="343" w:name="_Toc312678029"/>
      <w:r/>
      <w:bookmarkStart w:id="344" w:name="_Toc304295570"/>
      <w:r>
        <w:rPr>
          <w:rFonts w:hint="eastAsia" w:ascii="宋体" w:hAnsi="宋体" w:cs="宋体"/>
          <w:color w:val="000000" w:themeColor="text1"/>
          <w:szCs w:val="21"/>
          <w:highlight w:val="none"/>
          <w14:textFill>
            <w14:solidFill>
              <w14:schemeClr w14:val="tx1"/>
            </w14:solidFill>
          </w14:textFill>
        </w:rPr>
        <w:t xml:space="preserve">0.5 承</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Start w:id="345" w:name="_Toc303539151"/>
      <w:r/>
      <w:bookmarkStart w:id="346" w:name="_Toc300934994"/>
      <w:r/>
      <w:bookmarkStart w:id="347" w:name="_Toc292559913"/>
      <w:r/>
      <w:bookmarkStart w:id="348" w:name="_Toc292559408"/>
      <w:r/>
      <w:bookmarkStart w:id="349" w:name="_Toc297123545"/>
      <w:r/>
      <w:bookmarkStart w:id="350" w:name="_Toc296503203"/>
      <w:r/>
      <w:bookmarkStart w:id="351" w:name="_Toc296346704"/>
      <w:r/>
      <w:bookmarkStart w:id="352" w:name="_Toc296347202"/>
      <w:r/>
      <w:bookmarkStart w:id="353" w:name="_Toc297216204"/>
      <w:r/>
      <w:bookmarkStart w:id="354" w:name="_Toc296944542"/>
      <w:r/>
      <w:bookmarkStart w:id="355" w:name="_Toc297048389"/>
      <w:r/>
      <w:bookmarkStart w:id="356" w:name="_Toc296891031"/>
      <w:r/>
      <w:bookmarkStart w:id="357" w:name="_Toc296891243"/>
      <w:r/>
      <w:bookmarkStart w:id="358" w:name="_Toc297120503"/>
      <w:r>
        <w:rPr>
          <w:rFonts w:hint="eastAsia" w:ascii="宋体" w:hAnsi="宋体" w:cs="宋体"/>
          <w:color w:val="000000" w:themeColor="text1"/>
          <w:szCs w:val="21"/>
          <w:highlight w:val="none"/>
          <w14:textFill>
            <w14:solidFill>
              <w14:schemeClr w14:val="tx1"/>
            </w14:solidFill>
          </w14:textFill>
        </w:rPr>
        <w:t xml:space="preserve">包人的合理化建议</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监理人审查承包人合理化建议的期限：</w:t>
      </w:r>
      <w:r>
        <w:rPr>
          <w:rFonts w:hint="eastAsia" w:ascii="宋体" w:hAnsi="宋体" w:cs="宋体"/>
          <w:color w:val="000000" w:themeColor="text1"/>
          <w:szCs w:val="21"/>
          <w:highlight w:val="none"/>
          <w:u w:val="single"/>
          <w14:textFill>
            <w14:solidFill>
              <w14:schemeClr w14:val="tx1"/>
            </w14:solidFill>
          </w14:textFill>
        </w:rPr>
        <w:t xml:space="preserve">五日（特殊事宜须经多方论证）。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发包人审批承包人合理化建议的期限：</w:t>
      </w:r>
      <w:r>
        <w:rPr>
          <w:rFonts w:hint="eastAsia" w:ascii="宋体" w:hAnsi="宋体" w:cs="宋体"/>
          <w:color w:val="000000" w:themeColor="text1"/>
          <w:szCs w:val="21"/>
          <w:highlight w:val="none"/>
          <w:u w:val="single"/>
          <w14:textFill>
            <w14:solidFill>
              <w14:schemeClr w14:val="tx1"/>
            </w14:solidFill>
          </w14:textFill>
        </w:rPr>
        <w:t xml:space="preserve">五日（特殊事宜须经多方论证）。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w:t>
      </w:r>
      <w:bookmarkStart w:id="359" w:name="_Toc296891244"/>
      <w:r/>
      <w:bookmarkStart w:id="360" w:name="_Toc304295571"/>
      <w:r/>
      <w:bookmarkStart w:id="361" w:name="_Toc292559914"/>
      <w:r/>
      <w:bookmarkStart w:id="362" w:name="_Toc296891032"/>
      <w:r/>
      <w:bookmarkStart w:id="363" w:name="_Toc312677504"/>
      <w:r/>
      <w:bookmarkStart w:id="364" w:name="_Toc297123546"/>
      <w:r/>
      <w:bookmarkStart w:id="365" w:name="_Toc297216205"/>
      <w:r/>
      <w:bookmarkStart w:id="366" w:name="_Toc296944543"/>
      <w:r/>
      <w:bookmarkStart w:id="367" w:name="_Toc296347203"/>
      <w:r/>
      <w:bookmarkStart w:id="368" w:name="_Toc297048390"/>
      <w:r/>
      <w:bookmarkStart w:id="369" w:name="_Toc292559409"/>
      <w:r/>
      <w:bookmarkStart w:id="370" w:name="_Toc296346705"/>
      <w:r/>
      <w:bookmarkStart w:id="371" w:name="_Toc296503204"/>
      <w:r/>
      <w:bookmarkStart w:id="372" w:name="_Toc318581175"/>
      <w:r/>
      <w:bookmarkStart w:id="373" w:name="_Toc303539152"/>
      <w:r/>
      <w:bookmarkStart w:id="374" w:name="_Toc297120504"/>
      <w:r/>
      <w:bookmarkStart w:id="375" w:name="_Toc300934995"/>
      <w:r/>
      <w:bookmarkStart w:id="376" w:name="_Toc312678030"/>
      <w:r>
        <w:rPr>
          <w:rFonts w:hint="eastAsia" w:ascii="宋体" w:hAnsi="宋体" w:cs="宋体"/>
          <w:color w:val="000000" w:themeColor="text1"/>
          <w:szCs w:val="21"/>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cs="宋体"/>
          <w:color w:val="000000" w:themeColor="text1"/>
          <w:szCs w:val="21"/>
          <w:highlight w:val="none"/>
          <w:u w:val="single"/>
          <w14:textFill>
            <w14:solidFill>
              <w14:schemeClr w14:val="tx1"/>
            </w14:solidFill>
          </w14:textFill>
        </w:rPr>
        <w:t xml:space="preserve">双方另行协商确定。</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377" w:name="_Toc296503199"/>
      <w:r/>
      <w:bookmarkStart w:id="378" w:name="_Toc297123548"/>
      <w:r/>
      <w:bookmarkStart w:id="379" w:name="_Toc303539154"/>
      <w:r/>
      <w:bookmarkStart w:id="380" w:name="_Toc304295574"/>
      <w:r/>
      <w:bookmarkStart w:id="381" w:name="_Toc300934997"/>
      <w:r/>
      <w:bookmarkStart w:id="382" w:name="_Toc297216207"/>
      <w:r/>
      <w:bookmarkStart w:id="383" w:name="_Toc312677507"/>
      <w:r/>
      <w:bookmarkStart w:id="384" w:name="_Toc297048385"/>
      <w:r/>
      <w:bookmarkStart w:id="385" w:name="_Toc296347198"/>
      <w:r/>
      <w:bookmarkStart w:id="386" w:name="_Toc296944538"/>
      <w:r/>
      <w:bookmarkStart w:id="387" w:name="_Toc312678033"/>
      <w:r/>
      <w:bookmarkStart w:id="388" w:name="_Toc296891239"/>
      <w:r/>
      <w:bookmarkStart w:id="389" w:name="_Toc297120499"/>
      <w:r/>
      <w:bookmarkStart w:id="390" w:name="_Toc296891027"/>
      <w:r/>
      <w:bookmarkStart w:id="391" w:name="_Toc296346700"/>
      <w:r/>
      <w:bookmarkStart w:id="392" w:name="_Toc292559404"/>
      <w:r/>
      <w:bookmarkStart w:id="393" w:name="_Toc292559909"/>
      <w:r>
        <w:rPr>
          <w:rFonts w:hint="eastAsia" w:ascii="宋体" w:hAnsi="宋体" w:cs="宋体"/>
          <w:color w:val="000000" w:themeColor="text1"/>
          <w:szCs w:val="21"/>
          <w:highlight w:val="none"/>
          <w14:textFill>
            <w14:solidFill>
              <w14:schemeClr w14:val="tx1"/>
            </w14:solidFill>
          </w14:textFill>
        </w:rPr>
        <w:t xml:space="preserve">0.7 暂估价</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暂</w:t>
      </w:r>
      <w:bookmarkStart w:id="394" w:name="_Toc312678034"/>
      <w:r/>
      <w:bookmarkStart w:id="395" w:name="_Toc312677508"/>
      <w:r/>
      <w:bookmarkStart w:id="396" w:name="_Toc318581176"/>
      <w:r>
        <w:rPr>
          <w:rFonts w:hint="eastAsia" w:ascii="宋体" w:hAnsi="宋体" w:cs="宋体"/>
          <w:color w:val="000000" w:themeColor="text1"/>
          <w:szCs w:val="21"/>
          <w:highlight w:val="none"/>
          <w14:textFill>
            <w14:solidFill>
              <w14:schemeClr w14:val="tx1"/>
            </w14:solidFill>
          </w14:textFill>
        </w:rPr>
        <w:t xml:space="preserve">估价材料和工程设备的明细详见附件11：《暂估价一览表》。</w:t>
      </w:r>
      <w:bookmarkEnd w:id="394"/>
      <w:r/>
      <w:bookmarkEnd w:id="395"/>
      <w:r/>
      <w:bookmarkEnd w:id="396"/>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397" w:name="_Toc318581177"/>
      <w:r/>
      <w:bookmarkStart w:id="398" w:name="_Toc312678035"/>
      <w:r/>
      <w:bookmarkStart w:id="399" w:name="_Toc312677509"/>
      <w:r>
        <w:rPr>
          <w:rFonts w:hint="eastAsia" w:ascii="宋体" w:hAnsi="宋体" w:cs="宋体"/>
          <w:color w:val="000000" w:themeColor="text1"/>
          <w:szCs w:val="21"/>
          <w:highlight w:val="none"/>
          <w14:textFill>
            <w14:solidFill>
              <w14:schemeClr w14:val="tx1"/>
            </w14:solidFill>
          </w14:textFill>
        </w:rPr>
        <w:t xml:space="preserve">0.7.1 依法必须招标的暂估价项目</w:t>
      </w:r>
      <w:bookmarkEnd w:id="397"/>
      <w:r/>
      <w:bookmarkEnd w:id="398"/>
      <w:r/>
      <w:bookmarkEnd w:id="399"/>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对于依法必须招标的暂估价项目的确认和批准采取第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种方式确定。</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10.7.2 不属于依法必须招标的暂估价项目</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对于不属于依法必须招标的暂估价项目的确认和批准采取第</w:t>
      </w:r>
      <w:r>
        <w:rPr>
          <w:rFonts w:hint="eastAsia" w:ascii="宋体" w:hAnsi="宋体" w:cs="宋体"/>
          <w:color w:val="000000" w:themeColor="text1"/>
          <w:szCs w:val="21"/>
          <w:highlight w:val="none"/>
          <w:u w:val="single"/>
          <w14:textFill>
            <w14:solidFill>
              <w14:schemeClr w14:val="tx1"/>
            </w14:solidFill>
          </w14:textFill>
        </w:rPr>
        <w:t xml:space="preserve"> 1 </w:t>
      </w:r>
      <w:r>
        <w:rPr>
          <w:rFonts w:hint="eastAsia" w:ascii="宋体" w:hAnsi="宋体" w:cs="宋体"/>
          <w:color w:val="000000" w:themeColor="text1"/>
          <w:szCs w:val="21"/>
          <w:highlight w:val="none"/>
          <w14:textFill>
            <w14:solidFill>
              <w14:schemeClr w14:val="tx1"/>
            </w14:solidFill>
          </w14:textFill>
        </w:rPr>
        <w:t xml:space="preserve">种方式确定。</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第3种方式：承包人直接实施的暂估价项目</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承包人直接实施的暂估价项目的约定：</w:t>
      </w:r>
      <w:r>
        <w:rPr>
          <w:rFonts w:hint="eastAsia" w:ascii="宋体" w:hAnsi="宋体" w:cs="宋体"/>
          <w:color w:val="000000" w:themeColor="text1"/>
          <w:szCs w:val="21"/>
          <w:highlight w:val="none"/>
          <w:u w:val="single"/>
          <w14:textFill>
            <w14:solidFill>
              <w14:schemeClr w14:val="tx1"/>
            </w14:solidFill>
          </w14:textFill>
        </w:rPr>
        <w:t xml:space="preserve">须报监理及发包人批准后执行。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10.8 暂列金额</w:t>
      </w:r>
      <w:bookmarkEnd w:id="321"/>
      <w:r/>
      <w:bookmarkEnd w:id="322"/>
      <w:r/>
      <w:bookmarkEnd w:id="323"/>
      <w:r/>
      <w:bookmarkEnd w:id="324"/>
      <w:r/>
      <w:bookmarkEnd w:id="325"/>
      <w:r/>
      <w:bookmarkEnd w:id="326"/>
      <w:r/>
      <w:bookmarkStart w:id="400" w:name="_Toc351203643"/>
      <w:r/>
      <w:bookmarkStart w:id="401" w:name="_Toc296503205"/>
      <w:r/>
      <w:bookmarkStart w:id="402" w:name="_Toc297120505"/>
      <w:r/>
      <w:bookmarkStart w:id="403" w:name="_Toc292559915"/>
      <w:r/>
      <w:bookmarkStart w:id="404" w:name="_Toc296891033"/>
      <w:r/>
      <w:bookmarkStart w:id="405" w:name="_Toc296346706"/>
      <w:r/>
      <w:bookmarkStart w:id="406" w:name="_Toc292559410"/>
      <w:r/>
      <w:bookmarkStart w:id="407" w:name="_Toc296891245"/>
      <w:r/>
      <w:bookmarkStart w:id="408" w:name="_Toc296347204"/>
      <w:r/>
      <w:bookmarkStart w:id="409" w:name="_Toc296944544"/>
      <w:r/>
      <w:bookmarkStart w:id="410" w:name="_Toc297048391"/>
      <w:r/>
      <w:bookmarkStart w:id="411" w:name="_Toc303539159"/>
      <w:r/>
      <w:bookmarkStart w:id="412" w:name="_Toc300935002"/>
      <w:r/>
      <w:bookmarkStart w:id="413" w:name="_Toc312678040"/>
      <w:r/>
      <w:bookmarkStart w:id="414" w:name="_Toc297123552"/>
      <w:r/>
      <w:bookmarkStart w:id="415" w:name="_Toc304295579"/>
      <w:r/>
      <w:bookmarkStart w:id="416" w:name="_Toc351203644"/>
      <w:r/>
      <w:bookmarkStart w:id="417" w:name="_Toc297216211"/>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合同当事人关于暂列金额使用的约定：</w:t>
      </w:r>
      <w:r>
        <w:rPr>
          <w:rFonts w:hint="eastAsia" w:ascii="宋体" w:hAnsi="宋体" w:cs="宋体"/>
          <w:color w:val="000000" w:themeColor="text1"/>
          <w:szCs w:val="21"/>
          <w:highlight w:val="none"/>
          <w:u w:val="single"/>
          <w14:textFill>
            <w14:solidFill>
              <w14:schemeClr w14:val="tx1"/>
            </w14:solidFill>
          </w14:textFill>
        </w:rPr>
        <w:t xml:space="preserve">按照发包人的要求使用。</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11. 价格调整</w:t>
      </w:r>
      <w:bookmarkEnd w:id="400"/>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bookmarkStart w:id="418" w:name="_Toc297048387"/>
      <w:r/>
      <w:bookmarkStart w:id="419" w:name="_Toc297120501"/>
      <w:r/>
      <w:bookmarkStart w:id="420" w:name="_Toc296891029"/>
      <w:r/>
      <w:bookmarkStart w:id="421" w:name="_Toc296944540"/>
      <w:r/>
      <w:bookmarkStart w:id="422" w:name="_Toc292559406"/>
      <w:r/>
      <w:bookmarkStart w:id="423" w:name="_Toc304295577"/>
      <w:r/>
      <w:bookmarkStart w:id="424" w:name="_Toc300935000"/>
      <w:r/>
      <w:bookmarkStart w:id="425" w:name="_Toc296503201"/>
      <w:r/>
      <w:bookmarkStart w:id="426" w:name="_Toc312678039"/>
      <w:r/>
      <w:bookmarkStart w:id="427" w:name="_Toc297216209"/>
      <w:r/>
      <w:bookmarkStart w:id="428" w:name="_Toc303539157"/>
      <w:r/>
      <w:bookmarkStart w:id="429" w:name="_Toc292559911"/>
      <w:r/>
      <w:bookmarkStart w:id="430" w:name="_Toc296347200"/>
      <w:r/>
      <w:bookmarkStart w:id="431" w:name="_Toc296346702"/>
      <w:r/>
      <w:bookmarkStart w:id="432" w:name="_Toc296891241"/>
      <w:r/>
      <w:bookmarkStart w:id="433" w:name="_Toc297123550"/>
      <w:r>
        <w:rPr>
          <w:rFonts w:hint="eastAsia" w:ascii="宋体" w:hAnsi="宋体" w:cs="宋体"/>
          <w:color w:val="000000" w:themeColor="text1"/>
          <w:szCs w:val="21"/>
          <w:highlight w:val="none"/>
          <w14:textFill>
            <w14:solidFill>
              <w14:schemeClr w14:val="tx1"/>
            </w14:solidFill>
          </w14:textFill>
        </w:rPr>
        <w:t xml:space="preserve">11.1 市场价格波动引起的调整</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市场价格波动是否调整合同价格的约定：</w:t>
      </w:r>
      <w:r>
        <w:rPr>
          <w:rFonts w:hint="eastAsia" w:ascii="宋体" w:hAnsi="宋体" w:cs="宋体"/>
          <w:color w:val="000000" w:themeColor="text1"/>
          <w:szCs w:val="21"/>
          <w:highlight w:val="none"/>
          <w:u w:val="single"/>
          <w14:textFill>
            <w14:solidFill>
              <w14:schemeClr w14:val="tx1"/>
            </w14:solidFill>
          </w14:textFill>
        </w:rPr>
        <w:t xml:space="preserve"> 调整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因市场价格波动调整合同价格，采用以下第</w:t>
      </w:r>
      <w:r>
        <w:rPr>
          <w:rFonts w:hint="eastAsia" w:ascii="宋体" w:hAnsi="宋体" w:cs="宋体"/>
          <w:color w:val="000000" w:themeColor="text1"/>
          <w:szCs w:val="21"/>
          <w:highlight w:val="none"/>
          <w:u w:val="single"/>
          <w14:textFill>
            <w14:solidFill>
              <w14:schemeClr w14:val="tx1"/>
            </w14:solidFill>
          </w14:textFill>
        </w:rPr>
        <w:t xml:space="preserve">  3  </w:t>
      </w:r>
      <w:r>
        <w:rPr>
          <w:rFonts w:hint="eastAsia" w:ascii="宋体" w:hAnsi="宋体" w:cs="宋体"/>
          <w:color w:val="000000" w:themeColor="text1"/>
          <w:szCs w:val="21"/>
          <w:highlight w:val="none"/>
          <w14:textFill>
            <w14:solidFill>
              <w14:schemeClr w14:val="tx1"/>
            </w14:solidFill>
          </w14:textFill>
        </w:rPr>
        <w:t xml:space="preserve">种方式对合同价格进行调整：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第1种方式：采用价格指数进行价格调整。</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第2种方式：采用造价信息进行价格调整。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（2）关于基准价格的约定：</w:t>
      </w:r>
      <w:r>
        <w:rPr>
          <w:rFonts w:hint="eastAsia" w:ascii="宋体" w:hAnsi="宋体" w:cs="宋体"/>
          <w:color w:val="000000" w:themeColor="text1"/>
          <w:szCs w:val="21"/>
          <w:highlight w:val="none"/>
          <w:u w:val="single"/>
          <w14:textFill>
            <w14:solidFill>
              <w14:schemeClr w14:val="tx1"/>
            </w14:solidFill>
          </w14:textFill>
        </w:rPr>
        <w:t xml:space="preserve"> 基准价格详见招标文件中招标控制价附件，《承包人提供主要材料和工程设备一览表》中基准单价即为基准价格。</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%时，或材料单价跌幅以已标价工程量清单或预算书中载明材料单价为基础超过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%时，材料单价涨幅以已标价工程量清单或预算书中载明材料单价为基础超过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第3种方式：其他价格调整方式：</w:t>
      </w:r>
      <w:r>
        <w:rPr>
          <w:rFonts w:hint="eastAsia" w:ascii="宋体" w:hAnsi="宋体" w:cs="宋体"/>
          <w:b/>
          <w:bCs/>
          <w:color w:val="000000" w:themeColor="text1"/>
          <w:szCs w:val="21"/>
          <w:highlight w:val="none"/>
          <w:u w:val="single"/>
          <w14:textFill>
            <w14:solidFill>
              <w14:schemeClr w14:val="tx1"/>
            </w14:solidFill>
          </w14:textFill>
        </w:rPr>
        <w:t xml:space="preserve">按苏建价[2008]67号文执行</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12. </w:t>
      </w:r>
      <w:bookmarkEnd w:id="401"/>
      <w:r/>
      <w:bookmarkEnd w:id="402"/>
      <w:r/>
      <w:bookmarkEnd w:id="403"/>
      <w:r/>
      <w:bookmarkEnd w:id="404"/>
      <w:r/>
      <w:bookmarkEnd w:id="405"/>
      <w:r/>
      <w:bookmarkEnd w:id="406"/>
      <w:r/>
      <w:bookmarkEnd w:id="407"/>
      <w:r/>
      <w:bookmarkEnd w:id="408"/>
      <w:r/>
      <w:bookmarkEnd w:id="409"/>
      <w:r/>
      <w:bookmarkEnd w:id="410"/>
      <w:r>
        <w:rPr>
          <w:rFonts w:hint="eastAsia" w:ascii="宋体" w:hAnsi="宋体" w:cs="宋体"/>
          <w:color w:val="000000" w:themeColor="text1"/>
          <w:szCs w:val="21"/>
          <w:highlight w:val="none"/>
          <w14:textFill>
            <w14:solidFill>
              <w14:schemeClr w14:val="tx1"/>
            </w14:solidFill>
          </w14:textFill>
        </w:rPr>
        <w:t xml:space="preserve">合同价格、计量与支付</w:t>
      </w:r>
      <w:bookmarkEnd w:id="411"/>
      <w:r/>
      <w:bookmarkEnd w:id="412"/>
      <w:r/>
      <w:bookmarkEnd w:id="413"/>
      <w:r/>
      <w:bookmarkEnd w:id="414"/>
      <w:r/>
      <w:bookmarkEnd w:id="415"/>
      <w:r/>
      <w:bookmarkEnd w:id="416"/>
      <w:r/>
      <w:bookmarkEnd w:id="417"/>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434" w:name="_Toc292559916"/>
      <w:r/>
      <w:bookmarkStart w:id="435" w:name="_Toc292559411"/>
      <w:r/>
      <w:bookmarkStart w:id="436" w:name="_Toc267251461"/>
      <w:r/>
      <w:bookmarkStart w:id="437" w:name="_Toc296891034"/>
      <w:r/>
      <w:bookmarkStart w:id="438" w:name="_Toc296347205"/>
      <w:r/>
      <w:bookmarkStart w:id="439" w:name="_Toc296503206"/>
      <w:r/>
      <w:bookmarkStart w:id="440" w:name="_Toc297048392"/>
      <w:r/>
      <w:bookmarkStart w:id="441" w:name="_Toc296944545"/>
      <w:r/>
      <w:bookmarkStart w:id="442" w:name="_Toc296346707"/>
      <w:r/>
      <w:bookmarkStart w:id="443" w:name="_Toc297120506"/>
      <w:r/>
      <w:bookmarkStart w:id="444" w:name="_Toc296891246"/>
      <w:r/>
      <w:bookmarkStart w:id="445" w:name="_Toc303539160"/>
      <w:r/>
      <w:bookmarkStart w:id="446" w:name="_Toc297123553"/>
      <w:r/>
      <w:bookmarkStart w:id="447" w:name="_Toc297216212"/>
      <w:r/>
      <w:bookmarkStart w:id="448" w:name="_Toc312678041"/>
      <w:r/>
      <w:bookmarkStart w:id="449" w:name="_Toc300935003"/>
      <w:r/>
      <w:bookmarkStart w:id="450" w:name="_Toc304295580"/>
      <w:r>
        <w:rPr>
          <w:rFonts w:hint="eastAsia" w:ascii="宋体" w:hAnsi="宋体" w:cs="宋体"/>
          <w:color w:val="000000" w:themeColor="text1"/>
          <w:szCs w:val="21"/>
          <w:highlight w:val="none"/>
          <w14:textFill>
            <w14:solidFill>
              <w14:schemeClr w14:val="tx1"/>
            </w14:solidFill>
          </w14:textFill>
        </w:rPr>
        <w:t xml:space="preserve">12.1 合</w:t>
      </w:r>
      <w:bookmarkEnd w:id="434"/>
      <w:r/>
      <w:bookmarkEnd w:id="435"/>
      <w:r/>
      <w:bookmarkEnd w:id="436"/>
      <w:r>
        <w:rPr>
          <w:rFonts w:hint="eastAsia" w:ascii="宋体" w:hAnsi="宋体" w:cs="宋体"/>
          <w:color w:val="000000" w:themeColor="text1"/>
          <w:szCs w:val="21"/>
          <w:highlight w:val="none"/>
          <w14:textFill>
            <w14:solidFill>
              <w14:schemeClr w14:val="tx1"/>
            </w14:solidFill>
          </w14:textFill>
        </w:rPr>
        <w:t xml:space="preserve">同价</w:t>
      </w:r>
      <w:bookmarkEnd w:id="437"/>
      <w:r/>
      <w:bookmarkEnd w:id="438"/>
      <w:r/>
      <w:bookmarkEnd w:id="439"/>
      <w:r/>
      <w:bookmarkEnd w:id="440"/>
      <w:r/>
      <w:bookmarkEnd w:id="441"/>
      <w:r/>
      <w:bookmarkEnd w:id="442"/>
      <w:r/>
      <w:bookmarkEnd w:id="443"/>
      <w:r/>
      <w:bookmarkEnd w:id="444"/>
      <w:r>
        <w:rPr>
          <w:rFonts w:hint="eastAsia" w:ascii="宋体" w:hAnsi="宋体" w:cs="宋体"/>
          <w:color w:val="000000" w:themeColor="text1"/>
          <w:szCs w:val="21"/>
          <w:highlight w:val="none"/>
          <w14:textFill>
            <w14:solidFill>
              <w14:schemeClr w14:val="tx1"/>
            </w14:solidFill>
          </w14:textFill>
        </w:rPr>
        <w:t xml:space="preserve">格形式：</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1.单价合同。</w:t>
      </w:r>
      <w:bookmarkEnd w:id="445"/>
      <w:r/>
      <w:bookmarkEnd w:id="446"/>
      <w:r/>
      <w:bookmarkEnd w:id="447"/>
      <w:r/>
      <w:bookmarkEnd w:id="448"/>
      <w:r/>
      <w:bookmarkEnd w:id="449"/>
      <w:r/>
      <w:bookmarkEnd w:id="450"/>
      <w:r/>
      <w:r/>
    </w:p>
    <w:p>
      <w:pPr>
        <w:ind w:firstLine="420"/>
        <w:jc w:val="left"/>
        <w:spacing w:line="360" w:lineRule="auto"/>
        <w:tabs>
          <w:tab w:val="left" w:pos="9645" w:leader="none"/>
        </w:tabs>
        <w:rPr>
          <w:rFonts w:ascii="宋体" w:hAnsi="宋体" w:cs="宋体"/>
          <w:color w:val="000000" w:themeColor="text1"/>
          <w:szCs w:val="21"/>
          <w:highlight w:val="none"/>
          <w:u w:val="single"/>
          <w14:textFill>
            <w14:solidFill>
              <w14:schemeClr w14:val="tx1"/>
            </w14:solidFill>
          </w14:textFill>
        </w:rPr>
      </w:pPr>
      <w:r/>
      <w:bookmarkStart w:id="451" w:name="_Toc296347206"/>
      <w:r/>
      <w:bookmarkStart w:id="452" w:name="_Toc296891035"/>
      <w:r/>
      <w:bookmarkStart w:id="453" w:name="_Toc303539161"/>
      <w:r/>
      <w:bookmarkStart w:id="454" w:name="_Toc304295581"/>
      <w:r/>
      <w:bookmarkStart w:id="455" w:name="_Toc296503207"/>
      <w:r/>
      <w:bookmarkStart w:id="456" w:name="_Toc297048393"/>
      <w:r/>
      <w:bookmarkStart w:id="457" w:name="_Toc297216213"/>
      <w:r/>
      <w:bookmarkStart w:id="458" w:name="_Toc296891247"/>
      <w:r/>
      <w:bookmarkStart w:id="459" w:name="_Toc296944546"/>
      <w:r/>
      <w:bookmarkStart w:id="460" w:name="_Toc312678042"/>
      <w:r/>
      <w:bookmarkStart w:id="461" w:name="_Toc296346708"/>
      <w:r/>
      <w:bookmarkStart w:id="462" w:name="_Toc297120507"/>
      <w:r/>
      <w:bookmarkStart w:id="463" w:name="_Toc297123554"/>
      <w:r/>
      <w:bookmarkStart w:id="464" w:name="_Toc300935004"/>
      <w:r/>
      <w:bookmarkStart w:id="465" w:name="_Toc292559412"/>
      <w:r/>
      <w:bookmarkStart w:id="466" w:name="_Toc292559917"/>
      <w:r>
        <w:rPr>
          <w:rFonts w:hint="eastAsia" w:ascii="宋体" w:hAnsi="宋体" w:cs="宋体"/>
          <w:color w:val="000000" w:themeColor="text1"/>
          <w:szCs w:val="21"/>
          <w:highlight w:val="none"/>
          <w14:textFill>
            <w14:solidFill>
              <w14:schemeClr w14:val="tx1"/>
            </w14:solidFill>
          </w14:textFill>
        </w:rPr>
        <w:t xml:space="preserve">综合单价包含的风险范围：</w:t>
      </w:r>
      <w:r>
        <w:rPr>
          <w:rFonts w:hint="eastAsia" w:ascii="宋体" w:hAnsi="宋体" w:cs="宋体"/>
          <w:color w:val="000000" w:themeColor="text1"/>
          <w:szCs w:val="21"/>
          <w:highlight w:val="none"/>
          <w:u w:val="single"/>
          <w14:textFill>
            <w14:solidFill>
              <w14:schemeClr w14:val="tx1"/>
            </w14:solidFill>
          </w14:textFill>
        </w:rPr>
        <w:t xml:space="preserve">除①设计变更、②招标人要求变动的内容、③政策性文件调整、④下述“风险范围以外合同价格的调整方法”中约定的可调整内容以外的其他所有风险。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风险费用的计算方法：</w:t>
      </w:r>
      <w:r>
        <w:rPr>
          <w:rFonts w:hint="eastAsia" w:ascii="宋体" w:hAnsi="宋体" w:cs="宋体"/>
          <w:color w:val="000000" w:themeColor="text1"/>
          <w:szCs w:val="21"/>
          <w:highlight w:val="none"/>
          <w:u w:val="single"/>
          <w14:textFill>
            <w14:solidFill>
              <w14:schemeClr w14:val="tx1"/>
            </w14:solidFill>
          </w14:textFill>
        </w:rPr>
        <w:t xml:space="preserve">全部风险包含在投标报价中，承包人投标时充分考虑风险范围，并计算风险系数。</w:t>
      </w:r>
      <w:r/>
    </w:p>
    <w:p>
      <w:pPr>
        <w:ind w:firstLine="40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风险范围以外合同价格的调整方法：</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（1）主要材料、工程设备价格波动采用造价信息进行价格调整，调整方法见 11.1；</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（2）施工期间人工费用的调整按国家（江苏省、扬州市）颁布的政策性人工费调整文件执行，基准日为投标截止时间前 28 天；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（3）施工期间施工机械台班单价或施工机械使用费由省级行业建设主管部门或其授权的工程价管理机构发布调整文件的，按其规定调整。</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 预付款</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12.2.1 预付款的支付</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预付款支付比例或金额：</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预付款支付期限：</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预付款扣回的方式：</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12.2.2 预付款担保</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承包人提交预付款担保的期限：</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预付款担保的形式为：</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 计量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12.3.1 计量原则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工程量计算规则：</w:t>
      </w:r>
      <w:r>
        <w:rPr>
          <w:rFonts w:hint="eastAsia" w:ascii="宋体" w:hAnsi="宋体" w:cs="宋体"/>
          <w:color w:val="000000" w:themeColor="text1"/>
          <w:szCs w:val="21"/>
          <w:highlight w:val="none"/>
          <w:u w:val="single"/>
          <w14:textFill>
            <w14:solidFill>
              <w14:schemeClr w14:val="tx1"/>
            </w14:solidFill>
          </w14:textFill>
        </w:rPr>
        <w:t xml:space="preserve">《建设工程工程量清单计价规范》（GB50500-2013）及相应计价表的计算规则。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12.3.2 计量周期</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关于计量周期的约定：</w:t>
      </w:r>
      <w:r>
        <w:rPr>
          <w:rFonts w:hint="eastAsia" w:ascii="宋体" w:hAnsi="宋体" w:cs="宋体"/>
          <w:color w:val="000000" w:themeColor="text1"/>
          <w:szCs w:val="21"/>
          <w:highlight w:val="none"/>
          <w:u w:val="single"/>
          <w14:textFill>
            <w14:solidFill>
              <w14:schemeClr w14:val="tx1"/>
            </w14:solidFill>
          </w14:textFill>
        </w:rPr>
        <w:t xml:space="preserve">按月进行。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12.3.3 单价合同的计量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关于单价合同计量的约定：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 工程进度款支付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467" w:name="_Toc296891251"/>
      <w:r/>
      <w:bookmarkStart w:id="468" w:name="_Toc296347210"/>
      <w:r/>
      <w:bookmarkStart w:id="469" w:name="_Toc296346712"/>
      <w:r/>
      <w:bookmarkStart w:id="470" w:name="_Toc297216215"/>
      <w:r/>
      <w:bookmarkStart w:id="471" w:name="_Toc296891039"/>
      <w:r/>
      <w:bookmarkStart w:id="472" w:name="_Toc297123556"/>
      <w:r/>
      <w:bookmarkStart w:id="473" w:name="_Toc296944550"/>
      <w:r/>
      <w:bookmarkStart w:id="474" w:name="_Toc292559416"/>
      <w:r/>
      <w:bookmarkStart w:id="475" w:name="_Toc303539163"/>
      <w:r/>
      <w:bookmarkStart w:id="476" w:name="_Toc296503211"/>
      <w:r/>
      <w:bookmarkStart w:id="477" w:name="_Toc300935006"/>
      <w:r/>
      <w:bookmarkStart w:id="478" w:name="_Toc297048397"/>
      <w:r/>
      <w:bookmarkStart w:id="479" w:name="_Toc292559921"/>
      <w:r/>
      <w:bookmarkStart w:id="480" w:name="_Toc297120511"/>
      <w:r>
        <w:rPr>
          <w:rFonts w:hint="eastAsia" w:ascii="宋体" w:hAnsi="宋体" w:cs="宋体"/>
          <w:color w:val="000000" w:themeColor="text1"/>
          <w:szCs w:val="21"/>
          <w:highlight w:val="none"/>
          <w14:textFill>
            <w14:solidFill>
              <w14:schemeClr w14:val="tx1"/>
            </w14:solidFill>
          </w14:textFill>
        </w:rPr>
        <w:t xml:space="preserve">12.4.1 付款周期</w:t>
      </w:r>
      <w:r/>
    </w:p>
    <w:p>
      <w:pPr>
        <w:pStyle w:val="1102"/>
        <w:ind w:firstLine="555"/>
        <w:spacing w:line="360" w:lineRule="auto"/>
        <w:rPr>
          <w:rFonts w:hAnsi="宋体" w:cs="宋体"/>
          <w:b/>
          <w:bCs/>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关于付款周期的约定：中标价即为合同价，工程竣工验收合格当年付合同价的40%，第二年工程结算审计后付至审定价的70%，第三年付至审定价的97%，3%作为质保金，质保期两年，质保期满后无质</w:t>
      </w:r>
      <w:r>
        <w:rPr>
          <w:rFonts w:hint="eastAsia" w:hAnsi="宋体" w:cs="宋体"/>
          <w:color w:val="000000" w:themeColor="text1"/>
          <w:sz w:val="21"/>
          <w:szCs w:val="21"/>
          <w:highlight w:val="none"/>
          <w:lang w:val="en-US" w:eastAsia="zh-CN"/>
          <w14:textFill>
            <w14:solidFill>
              <w14:schemeClr w14:val="tx1"/>
            </w14:solidFill>
          </w14:textFill>
        </w:rPr>
        <w:t xml:space="preserve">量</w:t>
      </w:r>
      <w:r>
        <w:rPr>
          <w:rFonts w:hint="eastAsia" w:hAnsi="宋体" w:cs="宋体"/>
          <w:color w:val="000000" w:themeColor="text1"/>
          <w:sz w:val="21"/>
          <w:szCs w:val="21"/>
          <w:highlight w:val="none"/>
          <w14:textFill>
            <w14:solidFill>
              <w14:schemeClr w14:val="tx1"/>
            </w14:solidFill>
          </w14:textFill>
        </w:rPr>
        <w:t xml:space="preserve">问题一次性付清。[付款时合同价均扣除暂列金、暂估价(如有)，每次支付工程款时，承包人必须提供正式税票]。</w:t>
      </w:r>
      <w:r/>
    </w:p>
    <w:p>
      <w:pPr>
        <w:pStyle w:val="1102"/>
        <w:ind w:firstLine="555"/>
        <w:spacing w:line="360" w:lineRule="auto"/>
        <w:rPr>
          <w:rFonts w:hAnsi="宋体" w:cs="宋体"/>
          <w:b/>
          <w:bCs/>
          <w:color w:val="000000" w:themeColor="text1"/>
          <w:sz w:val="21"/>
          <w:szCs w:val="21"/>
          <w:highlight w:val="none"/>
          <w:u w:val="single"/>
          <w14:textFill>
            <w14:solidFill>
              <w14:schemeClr w14:val="tx1"/>
            </w14:solidFill>
          </w14:textFill>
        </w:rPr>
      </w:pPr>
      <w:r>
        <w:rPr>
          <w:rFonts w:hint="eastAsia" w:hAnsi="宋体" w:cs="宋体"/>
          <w:b/>
          <w:bCs/>
          <w:color w:val="000000" w:themeColor="text1"/>
          <w:sz w:val="21"/>
          <w:szCs w:val="21"/>
          <w:highlight w:val="none"/>
          <w:u w:val="single"/>
          <w14:textFill>
            <w14:solidFill>
              <w14:schemeClr w14:val="tx1"/>
            </w14:solidFill>
          </w14:textFill>
        </w:rPr>
        <w:t xml:space="preserve">工程结算方式</w:t>
      </w:r>
      <w:r/>
    </w:p>
    <w:p>
      <w:pPr>
        <w:pStyle w:val="1102"/>
        <w:ind w:firstLine="555"/>
        <w:spacing w:line="360" w:lineRule="auto"/>
        <w:rPr>
          <w:rFonts w:hAnsi="宋体" w:cs="宋体"/>
          <w:b/>
          <w:bCs/>
          <w:color w:val="000000" w:themeColor="text1"/>
          <w:sz w:val="21"/>
          <w:szCs w:val="21"/>
          <w:highlight w:val="none"/>
          <w:u w:val="single"/>
          <w14:textFill>
            <w14:solidFill>
              <w14:schemeClr w14:val="tx1"/>
            </w14:solidFill>
          </w14:textFill>
        </w:rPr>
      </w:pPr>
      <w:r>
        <w:rPr>
          <w:rFonts w:hint="eastAsia" w:hAnsi="宋体" w:cs="宋体"/>
          <w:b/>
          <w:bCs/>
          <w:color w:val="000000" w:themeColor="text1"/>
          <w:sz w:val="21"/>
          <w:szCs w:val="21"/>
          <w:highlight w:val="none"/>
          <w:u w:val="single"/>
          <w14:textFill>
            <w14:solidFill>
              <w14:schemeClr w14:val="tx1"/>
            </w14:solidFill>
          </w14:textFill>
        </w:rPr>
        <w:t xml:space="preserve">结算方式：1、工程量按实结算，综合单价按第一轮报价的综合单价进行正常计算得出总价后，再在此总价上按最终报价与第一轮投标价的让利幅度进行同比让利，作为最终结算价。2、新增项目按实结算，让利幅度按以下公式计算：（1-中标价/招标控制价）*100%。</w:t>
      </w:r>
      <w:r/>
    </w:p>
    <w:p>
      <w:pPr>
        <w:pStyle w:val="1102"/>
        <w:ind w:firstLine="555"/>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b/>
          <w:bCs/>
          <w:color w:val="000000" w:themeColor="text1"/>
          <w:sz w:val="21"/>
          <w:szCs w:val="21"/>
          <w:highlight w:val="none"/>
          <w:u w:val="single"/>
          <w14:textFill>
            <w14:solidFill>
              <w14:schemeClr w14:val="tx1"/>
            </w14:solidFill>
          </w14:textFill>
        </w:rPr>
        <w:t xml:space="preserve">合同价款中包括的风险范围：除工程量的风险由招标人承担外，其它均为合同价款中已包括的风险范围。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12.4.2 进度付款申请单的编制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关于进度付款申请单编制的约定：</w:t>
      </w:r>
      <w:r>
        <w:rPr>
          <w:rFonts w:hint="eastAsia" w:ascii="宋体" w:hAnsi="宋体" w:cs="宋体"/>
          <w:color w:val="000000" w:themeColor="text1"/>
          <w:szCs w:val="21"/>
          <w:highlight w:val="none"/>
          <w:u w:val="single"/>
          <w14:textFill>
            <w14:solidFill>
              <w14:schemeClr w14:val="tx1"/>
            </w14:solidFill>
          </w14:textFill>
        </w:rPr>
        <w:t xml:space="preserve">按通用条款。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color w:val="000000" w:themeColor="text1"/>
          <w:szCs w:val="21"/>
          <w:highlight w:val="none"/>
          <w14:textFill>
            <w14:solidFill>
              <w14:schemeClr w14:val="tx1"/>
            </w14:solidFill>
          </w14:textFill>
        </w:rPr>
        <w:t xml:space="preserve">2.4.3 进度付款申请单的提交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（1）单价合同进度付款申请单提交的约定：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按通用条款。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（3）其他价格形式合同进度付款申请单提交的约定：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12.4.4 进度款审核和支付</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（1）监理人审查并报送发包人的期限：</w:t>
      </w:r>
      <w:r>
        <w:rPr>
          <w:rFonts w:hint="eastAsia" w:ascii="宋体" w:hAnsi="宋体" w:cs="宋体"/>
          <w:color w:val="000000" w:themeColor="text1"/>
          <w:szCs w:val="21"/>
          <w:highlight w:val="none"/>
          <w:u w:val="single"/>
          <w14:textFill>
            <w14:solidFill>
              <w14:schemeClr w14:val="tx1"/>
            </w14:solidFill>
          </w14:textFill>
        </w:rPr>
        <w:t xml:space="preserve">按通用条款。</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发包人完成审批并签发进度款支付证书的期限：</w:t>
      </w:r>
      <w:r>
        <w:rPr>
          <w:rFonts w:hint="eastAsia" w:ascii="宋体" w:hAnsi="宋体" w:cs="宋体"/>
          <w:color w:val="000000" w:themeColor="text1"/>
          <w:szCs w:val="21"/>
          <w:highlight w:val="none"/>
          <w:u w:val="single"/>
          <w14:textFill>
            <w14:solidFill>
              <w14:schemeClr w14:val="tx1"/>
            </w14:solidFill>
          </w14:textFill>
        </w:rPr>
        <w:t xml:space="preserve">按通用条款。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（2）发包人支付进度款的期限：</w:t>
      </w:r>
      <w:r>
        <w:rPr>
          <w:rFonts w:hint="eastAsia" w:ascii="宋体" w:hAnsi="宋体" w:cs="宋体"/>
          <w:color w:val="000000" w:themeColor="text1"/>
          <w:szCs w:val="21"/>
          <w:highlight w:val="none"/>
          <w:u w:val="single"/>
          <w14:textFill>
            <w14:solidFill>
              <w14:schemeClr w14:val="tx1"/>
            </w14:solidFill>
          </w14:textFill>
        </w:rPr>
        <w:t xml:space="preserve"> 完成审批后执行。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12.4.6 支付分解表的编制</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2.总价合同支付分解表的编制与审批：</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3.单价合同的总价项目支付分解表的编制与审批：</w:t>
      </w:r>
      <w:r>
        <w:rPr>
          <w:rFonts w:hint="eastAsia" w:ascii="宋体" w:hAnsi="宋体" w:cs="宋体"/>
          <w:color w:val="000000" w:themeColor="text1"/>
          <w:szCs w:val="21"/>
          <w:highlight w:val="none"/>
          <w:u w:val="single"/>
          <w14:textFill>
            <w14:solidFill>
              <w14:schemeClr w14:val="tx1"/>
            </w14:solidFill>
          </w14:textFill>
        </w:rPr>
        <w:t xml:space="preserve">按通用条款执行。</w:t>
      </w:r>
      <w:bookmarkEnd w:id="327"/>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481" w:name="_Toc351203645"/>
      <w:r/>
      <w:bookmarkStart w:id="482" w:name="_Toc300935015"/>
      <w:r/>
      <w:bookmarkStart w:id="483" w:name="_Toc297120519"/>
      <w:r/>
      <w:bookmarkStart w:id="484" w:name="_Toc304295593"/>
      <w:r/>
      <w:bookmarkStart w:id="485" w:name="_Toc296944558"/>
      <w:r/>
      <w:bookmarkStart w:id="486" w:name="_Toc296503219"/>
      <w:r/>
      <w:bookmarkStart w:id="487" w:name="_Toc296347218"/>
      <w:r/>
      <w:bookmarkStart w:id="488" w:name="_Toc292559424"/>
      <w:r/>
      <w:bookmarkStart w:id="489" w:name="_Toc297216223"/>
      <w:r/>
      <w:bookmarkStart w:id="490" w:name="_Toc303539172"/>
      <w:r/>
      <w:bookmarkStart w:id="491" w:name="_Toc296891047"/>
      <w:r/>
      <w:bookmarkStart w:id="492" w:name="_Toc296346720"/>
      <w:r/>
      <w:bookmarkStart w:id="493" w:name="_Toc297048405"/>
      <w:r/>
      <w:bookmarkStart w:id="494" w:name="_Toc312678053"/>
      <w:r/>
      <w:bookmarkStart w:id="495" w:name="_Toc297123564"/>
      <w:r/>
      <w:bookmarkStart w:id="496" w:name="_Toc296891259"/>
      <w:r/>
      <w:bookmarkStart w:id="497" w:name="_Toc292559929"/>
      <w:r>
        <w:rPr>
          <w:rFonts w:hint="eastAsia" w:ascii="宋体" w:hAnsi="宋体" w:cs="宋体"/>
          <w:color w:val="000000" w:themeColor="text1"/>
          <w:szCs w:val="21"/>
          <w:highlight w:val="none"/>
          <w14:textFill>
            <w14:solidFill>
              <w14:schemeClr w14:val="tx1"/>
            </w14:solidFill>
          </w14:textFill>
        </w:rPr>
        <w:t xml:space="preserve">13. 验收和工程试车</w:t>
      </w:r>
      <w:bookmarkEnd w:id="481"/>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 分部分项工程验收</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13.1.2监理人不能按时进行验收时，应提前</w:t>
      </w:r>
      <w:r>
        <w:rPr>
          <w:rFonts w:hint="eastAsia" w:ascii="宋体" w:hAnsi="宋体" w:cs="宋体"/>
          <w:color w:val="000000" w:themeColor="text1"/>
          <w:szCs w:val="21"/>
          <w:highlight w:val="none"/>
          <w:u w:val="single"/>
          <w14:textFill>
            <w14:solidFill>
              <w14:schemeClr w14:val="tx1"/>
            </w14:solidFill>
          </w14:textFill>
        </w:rPr>
        <w:t xml:space="preserve"> 24 </w:t>
      </w:r>
      <w:r>
        <w:rPr>
          <w:rFonts w:hint="eastAsia" w:ascii="宋体" w:hAnsi="宋体" w:cs="宋体"/>
          <w:color w:val="000000" w:themeColor="text1"/>
          <w:szCs w:val="21"/>
          <w:highlight w:val="none"/>
          <w14:textFill>
            <w14:solidFill>
              <w14:schemeClr w14:val="tx1"/>
            </w14:solidFill>
          </w14:textFill>
        </w:rPr>
        <w:t xml:space="preserve">小时提交书面延期要求。</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关于延期最长不得超过：</w:t>
      </w:r>
      <w:r>
        <w:rPr>
          <w:rFonts w:hint="eastAsia" w:ascii="宋体" w:hAnsi="宋体" w:cs="宋体"/>
          <w:color w:val="000000" w:themeColor="text1"/>
          <w:szCs w:val="21"/>
          <w:highlight w:val="none"/>
          <w:u w:val="single"/>
          <w14:textFill>
            <w14:solidFill>
              <w14:schemeClr w14:val="tx1"/>
            </w14:solidFill>
          </w14:textFill>
        </w:rPr>
        <w:t xml:space="preserve"> 48 </w:t>
      </w:r>
      <w:r>
        <w:rPr>
          <w:rFonts w:hint="eastAsia" w:ascii="宋体" w:hAnsi="宋体" w:cs="宋体"/>
          <w:color w:val="000000" w:themeColor="text1"/>
          <w:szCs w:val="21"/>
          <w:highlight w:val="none"/>
          <w14:textFill>
            <w14:solidFill>
              <w14:schemeClr w14:val="tx1"/>
            </w14:solidFill>
          </w14:textFill>
        </w:rPr>
        <w:t xml:space="preserve">小时。</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bookmarkStart w:id="498" w:name="_Toc297120523"/>
      <w:r/>
      <w:bookmarkStart w:id="499" w:name="_Toc304295596"/>
      <w:r/>
      <w:bookmarkStart w:id="500" w:name="_Toc296944562"/>
      <w:r/>
      <w:bookmarkStart w:id="501" w:name="_Toc296891263"/>
      <w:r/>
      <w:bookmarkStart w:id="502" w:name="_Toc297216224"/>
      <w:r/>
      <w:bookmarkStart w:id="503" w:name="_Toc297048409"/>
      <w:r/>
      <w:bookmarkStart w:id="504" w:name="_Toc300935016"/>
      <w:r/>
      <w:bookmarkStart w:id="505" w:name="_Toc312678056"/>
      <w:r/>
      <w:bookmarkStart w:id="506" w:name="_Toc292559428"/>
      <w:r/>
      <w:bookmarkStart w:id="507" w:name="_Toc296347222"/>
      <w:r/>
      <w:bookmarkStart w:id="508" w:name="_Toc297123565"/>
      <w:r/>
      <w:bookmarkStart w:id="509" w:name="_Toc296503223"/>
      <w:r/>
      <w:bookmarkStart w:id="510" w:name="_Toc296346724"/>
      <w:r/>
      <w:bookmarkStart w:id="511" w:name="_Toc296891051"/>
      <w:r/>
      <w:bookmarkStart w:id="512" w:name="_Toc303539173"/>
      <w:r/>
      <w:bookmarkStart w:id="513" w:name="_Toc292559933"/>
      <w:r/>
      <w:bookmarkStart w:id="514" w:name="_Toc267251471"/>
      <w:r/>
      <w:bookmarkStart w:id="515" w:name="_Toc267251473"/>
      <w:r/>
      <w:bookmarkStart w:id="516" w:name="_Toc267251470"/>
      <w:r/>
      <w:bookmarkStart w:id="517" w:name="_Toc267251472"/>
      <w:r/>
      <w:bookmarkStart w:id="518" w:name="_Toc267251476"/>
      <w:r/>
      <w:bookmarkStart w:id="519" w:name="_Toc267251474"/>
      <w:r/>
      <w:bookmarkStart w:id="520" w:name="_Toc267251475"/>
      <w:r>
        <w:rPr>
          <w:rFonts w:hint="eastAsia" w:ascii="宋体" w:hAnsi="宋体" w:cs="宋体"/>
          <w:color w:val="000000" w:themeColor="text1"/>
          <w:szCs w:val="21"/>
          <w:highlight w:val="none"/>
          <w14:textFill>
            <w14:solidFill>
              <w14:schemeClr w14:val="tx1"/>
            </w14:solidFill>
          </w14:textFill>
        </w:rPr>
        <w:t xml:space="preserve">13.2 竣工验收</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13.2.2竣工验收程序</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关于竣工验收程序的约定：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bookmarkStart w:id="521" w:name="_Toc280868706"/>
      <w:r/>
      <w:bookmarkStart w:id="522" w:name="_Toc280868707"/>
      <w:r/>
      <w:bookmarkStart w:id="523" w:name="_Toc280868708"/>
      <w:r/>
      <w:bookmarkStart w:id="524" w:name="_Toc280868709"/>
      <w:r>
        <w:rPr>
          <w:rFonts w:hint="eastAsia" w:ascii="宋体" w:hAnsi="宋体" w:cs="宋体"/>
          <w:color w:val="000000" w:themeColor="text1"/>
          <w:szCs w:val="21"/>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13.2.5 移交、接收全部与部分工程</w:t>
      </w:r>
      <w:bookmarkEnd w:id="521"/>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承包人向发包人移交工程的期限：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Cs w:val="21"/>
          <w:highlight w:val="none"/>
          <w:u w:val="single"/>
          <w14:textFill>
            <w14:solidFill>
              <w14:schemeClr w14:val="tx1"/>
            </w14:solidFill>
          </w14:textFill>
        </w:rPr>
        <w:t xml:space="preserve">每延误一天罚1000元。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承包人未按时移交工程的，违约金的计算方法为： </w:t>
      </w:r>
      <w:r>
        <w:rPr>
          <w:rFonts w:hint="eastAsia" w:ascii="宋体" w:hAnsi="宋体" w:cs="宋体"/>
          <w:color w:val="000000" w:themeColor="text1"/>
          <w:szCs w:val="21"/>
          <w:highlight w:val="none"/>
          <w:u w:val="single"/>
          <w14:textFill>
            <w14:solidFill>
              <w14:schemeClr w14:val="tx1"/>
            </w14:solidFill>
          </w14:textFill>
        </w:rPr>
        <w:t xml:space="preserve">每延误一天罚合同价的万分之五。</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 工程试车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13.3.1 试车程序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工程试车内容：</w:t>
      </w:r>
      <w:r>
        <w:rPr>
          <w:rFonts w:hint="eastAsia" w:ascii="宋体" w:hAnsi="宋体" w:cs="宋体"/>
          <w:color w:val="000000" w:themeColor="text1"/>
          <w:szCs w:val="21"/>
          <w:highlight w:val="none"/>
          <w:u w:val="single"/>
          <w14:textFill>
            <w14:solidFill>
              <w14:schemeClr w14:val="tx1"/>
            </w14:solidFill>
          </w14:textFill>
        </w:rPr>
        <w:t xml:space="preserve">按规定执行。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（1）单机无负荷试车费用由</w:t>
      </w:r>
      <w:r>
        <w:rPr>
          <w:rFonts w:hint="eastAsia" w:ascii="宋体" w:hAnsi="宋体" w:cs="宋体"/>
          <w:color w:val="000000" w:themeColor="text1"/>
          <w:szCs w:val="21"/>
          <w:highlight w:val="none"/>
          <w:u w:val="single"/>
          <w14:textFill>
            <w14:solidFill>
              <w14:schemeClr w14:val="tx1"/>
            </w14:solidFill>
          </w14:textFill>
        </w:rPr>
        <w:t xml:space="preserve">    承包人   </w:t>
      </w:r>
      <w:r>
        <w:rPr>
          <w:rFonts w:hint="eastAsia" w:ascii="宋体" w:hAnsi="宋体" w:cs="宋体"/>
          <w:color w:val="000000" w:themeColor="text1"/>
          <w:szCs w:val="21"/>
          <w:highlight w:val="none"/>
          <w14:textFill>
            <w14:solidFill>
              <w14:schemeClr w14:val="tx1"/>
            </w14:solidFill>
          </w14:textFill>
        </w:rPr>
        <w:t xml:space="preserve">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（2）无负荷联动试车费用由</w:t>
      </w:r>
      <w:r>
        <w:rPr>
          <w:rFonts w:hint="eastAsia" w:ascii="宋体" w:hAnsi="宋体" w:cs="宋体"/>
          <w:color w:val="000000" w:themeColor="text1"/>
          <w:szCs w:val="21"/>
          <w:highlight w:val="none"/>
          <w:u w:val="single"/>
          <w14:textFill>
            <w14:solidFill>
              <w14:schemeClr w14:val="tx1"/>
            </w14:solidFill>
          </w14:textFill>
        </w:rPr>
        <w:t xml:space="preserve">    承包人   </w:t>
      </w:r>
      <w:r>
        <w:rPr>
          <w:rFonts w:hint="eastAsia" w:ascii="宋体" w:hAnsi="宋体" w:cs="宋体"/>
          <w:color w:val="000000" w:themeColor="text1"/>
          <w:szCs w:val="21"/>
          <w:highlight w:val="none"/>
          <w14:textFill>
            <w14:solidFill>
              <w14:schemeClr w14:val="tx1"/>
            </w14:solidFill>
          </w14:textFill>
        </w:rPr>
        <w:t xml:space="preserve">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13.3.3 投料试车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关于投料试车相关事项的约定：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bookmarkEnd w:id="522"/>
      <w:r/>
      <w:bookmarkEnd w:id="523"/>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 竣工退场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13.6.1 竣工退场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承包人完成竣工退场的期限：</w:t>
      </w:r>
      <w:r>
        <w:rPr>
          <w:rFonts w:hint="eastAsia" w:ascii="宋体" w:hAnsi="宋体" w:cs="宋体"/>
          <w:color w:val="000000" w:themeColor="text1"/>
          <w:szCs w:val="21"/>
          <w:highlight w:val="none"/>
          <w:u w:val="single"/>
          <w14:textFill>
            <w14:solidFill>
              <w14:schemeClr w14:val="tx1"/>
            </w14:solidFill>
          </w14:textFill>
        </w:rPr>
        <w:t xml:space="preserve">竣工验收合格后7日内全部退场。</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bookmarkStart w:id="525" w:name="_Toc351203646"/>
      <w:r>
        <w:rPr>
          <w:rFonts w:hint="eastAsia" w:ascii="宋体" w:hAnsi="宋体" w:cs="宋体"/>
          <w:color w:val="000000" w:themeColor="text1"/>
          <w:szCs w:val="21"/>
          <w:highlight w:val="none"/>
          <w14:textFill>
            <w14:solidFill>
              <w14:schemeClr w14:val="tx1"/>
            </w14:solidFill>
          </w14:textFill>
        </w:rPr>
        <w:t xml:space="preserve">14. 竣工结算</w:t>
      </w:r>
      <w:bookmarkEnd w:id="525"/>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 竣工付款申请</w:t>
      </w:r>
      <w:r/>
    </w:p>
    <w:p>
      <w:pPr>
        <w:ind w:firstLine="420"/>
        <w:jc w:val="left"/>
        <w:spacing w:line="360" w:lineRule="auto"/>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承包人提交竣工付款申请单的期限：</w:t>
      </w:r>
      <w:r>
        <w:rPr>
          <w:rFonts w:hint="eastAsia" w:ascii="宋体" w:hAnsi="宋体" w:cs="宋体"/>
          <w:color w:val="000000" w:themeColor="text1"/>
          <w:szCs w:val="21"/>
          <w:highlight w:val="none"/>
          <w:u w:val="single"/>
          <w14:textFill>
            <w14:solidFill>
              <w14:schemeClr w14:val="tx1"/>
            </w14:solidFill>
          </w14:textFill>
        </w:rPr>
        <w:t xml:space="preserve">竣工验收合格并已移交所有档案资料后10日内。</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竣工付款申请单应包括的内容：</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 竣工结算审核</w:t>
      </w:r>
      <w:r/>
    </w:p>
    <w:p>
      <w:pPr>
        <w:ind w:firstLine="420"/>
        <w:jc w:val="left"/>
        <w:spacing w:line="360" w:lineRule="auto"/>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发包人审批竣工付款申请单的期限：</w:t>
      </w:r>
      <w:r>
        <w:rPr>
          <w:rFonts w:hint="eastAsia" w:ascii="宋体" w:hAnsi="宋体" w:cs="宋体"/>
          <w:color w:val="000000" w:themeColor="text1"/>
          <w:szCs w:val="21"/>
          <w:highlight w:val="none"/>
          <w:u w:val="single"/>
          <w14:textFill>
            <w14:solidFill>
              <w14:schemeClr w14:val="tx1"/>
            </w14:solidFill>
          </w14:textFill>
        </w:rPr>
        <w:t xml:space="preserve">最终审计结束后。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发包人完成竣工付款的期限：</w:t>
      </w:r>
      <w:r>
        <w:rPr>
          <w:rFonts w:hint="eastAsia" w:ascii="宋体" w:hAnsi="宋体" w:cs="宋体"/>
          <w:color w:val="000000" w:themeColor="text1"/>
          <w:szCs w:val="21"/>
          <w:highlight w:val="none"/>
          <w:u w:val="single"/>
          <w14:textFill>
            <w14:solidFill>
              <w14:schemeClr w14:val="tx1"/>
            </w14:solidFill>
          </w14:textFill>
        </w:rPr>
        <w:t xml:space="preserve">按12.4.1条款执行。</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关于竣工付款证书异议部分复核的方式和程序:</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 最终结清</w:t>
      </w:r>
      <w:bookmarkEnd w:id="514"/>
      <w:r/>
      <w:bookmarkEnd w:id="515"/>
      <w:r/>
      <w:bookmarkEnd w:id="516"/>
      <w:r/>
      <w:bookmarkEnd w:id="517"/>
      <w:r/>
      <w:bookmarkEnd w:id="518"/>
      <w:r/>
      <w:bookmarkEnd w:id="519"/>
      <w:r/>
      <w:bookmarkEnd w:id="520"/>
      <w:r/>
      <w:bookmarkEnd w:id="52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526" w:name="_Toc351203647"/>
      <w:r/>
      <w:bookmarkStart w:id="527" w:name="_Toc267251483"/>
      <w:r/>
      <w:bookmarkStart w:id="528" w:name="_Toc267251482"/>
      <w:r/>
      <w:bookmarkStart w:id="529" w:name="_Toc267251484"/>
      <w:r/>
      <w:bookmarkStart w:id="530" w:name="_Toc267251485"/>
      <w:r/>
      <w:bookmarkStart w:id="531" w:name="_Toc267251488"/>
      <w:r/>
      <w:bookmarkStart w:id="532" w:name="_Toc267251489"/>
      <w:r/>
      <w:bookmarkStart w:id="533" w:name="_Toc267251486"/>
      <w:r/>
      <w:bookmarkStart w:id="534" w:name="_Toc267251490"/>
      <w:r/>
      <w:bookmarkStart w:id="535" w:name="_Toc267251504"/>
      <w:r/>
      <w:bookmarkStart w:id="536" w:name="_Toc267251495"/>
      <w:r/>
      <w:bookmarkStart w:id="537" w:name="_Toc267251497"/>
      <w:r/>
      <w:bookmarkStart w:id="538" w:name="_Toc267251499"/>
      <w:r/>
      <w:bookmarkStart w:id="539" w:name="_Toc267251507"/>
      <w:r/>
      <w:bookmarkStart w:id="540" w:name="_Toc267251501"/>
      <w:r/>
      <w:bookmarkStart w:id="541" w:name="_Toc267251491"/>
      <w:r/>
      <w:bookmarkStart w:id="542" w:name="_Toc267251502"/>
      <w:r/>
      <w:bookmarkStart w:id="543" w:name="_Toc267251494"/>
      <w:r/>
      <w:bookmarkStart w:id="544" w:name="_Toc267251506"/>
      <w:r/>
      <w:bookmarkStart w:id="545" w:name="_Toc267251496"/>
      <w:r/>
      <w:bookmarkStart w:id="546" w:name="_Toc267251498"/>
      <w:r/>
      <w:bookmarkStart w:id="547" w:name="_Toc267251503"/>
      <w:r/>
      <w:bookmarkStart w:id="548" w:name="_Toc267251492"/>
      <w:r/>
      <w:bookmarkStart w:id="549" w:name="_Toc267251493"/>
      <w:r/>
      <w:bookmarkStart w:id="550" w:name="_Toc267251508"/>
      <w:r/>
      <w:bookmarkStart w:id="551" w:name="_Toc267251513"/>
      <w:r/>
      <w:bookmarkStart w:id="552" w:name="_Toc267251514"/>
      <w:r/>
      <w:bookmarkStart w:id="553" w:name="_Toc267251509"/>
      <w:r/>
      <w:bookmarkStart w:id="554" w:name="_Toc267251515"/>
      <w:r/>
      <w:bookmarkStart w:id="555" w:name="_Toc267251511"/>
      <w:r/>
      <w:bookmarkStart w:id="556" w:name="_Toc267251510"/>
      <w:r>
        <w:rPr>
          <w:rFonts w:hint="eastAsia" w:ascii="宋体" w:hAnsi="宋体" w:cs="宋体"/>
          <w:color w:val="000000" w:themeColor="text1"/>
          <w:szCs w:val="21"/>
          <w:highlight w:val="none"/>
          <w14:textFill>
            <w14:solidFill>
              <w14:schemeClr w14:val="tx1"/>
            </w14:solidFill>
          </w14:textFill>
        </w:rPr>
        <w:t xml:space="preserve">14.4.1 最终结清申请单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承包人提交最终结清申请单的份数：</w:t>
      </w:r>
      <w:r>
        <w:rPr>
          <w:rFonts w:hint="eastAsia" w:ascii="宋体" w:hAnsi="宋体" w:cs="宋体"/>
          <w:color w:val="000000" w:themeColor="text1"/>
          <w:szCs w:val="21"/>
          <w:highlight w:val="none"/>
          <w:u w:val="single"/>
          <w14:textFill>
            <w14:solidFill>
              <w14:schemeClr w14:val="tx1"/>
            </w14:solidFill>
          </w14:textFill>
        </w:rPr>
        <w:t xml:space="preserve">肆份。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14.4.2 最终结清证书和支付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（1）发包人完成最终结清申请单的审批并颁发最终结清证书的期限： </w:t>
      </w:r>
      <w:r>
        <w:rPr>
          <w:rFonts w:hint="eastAsia" w:ascii="宋体" w:hAnsi="宋体" w:cs="宋体"/>
          <w:color w:val="000000" w:themeColor="text1"/>
          <w:szCs w:val="21"/>
          <w:highlight w:val="none"/>
          <w:u w:val="single"/>
          <w14:textFill>
            <w14:solidFill>
              <w14:schemeClr w14:val="tx1"/>
            </w14:solidFill>
          </w14:textFill>
        </w:rPr>
        <w:t xml:space="preserve">视审计部门审计时间。</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（2）发包人完成支付的期限：</w:t>
      </w:r>
      <w:r>
        <w:rPr>
          <w:rFonts w:hint="eastAsia" w:ascii="宋体" w:hAnsi="宋体" w:cs="宋体"/>
          <w:color w:val="000000" w:themeColor="text1"/>
          <w:szCs w:val="21"/>
          <w:highlight w:val="none"/>
          <w:u w:val="single"/>
          <w14:textFill>
            <w14:solidFill>
              <w14:schemeClr w14:val="tx1"/>
            </w14:solidFill>
          </w14:textFill>
        </w:rPr>
        <w:t xml:space="preserve">颁发最终结清证书后14天内完成支付。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 缺陷责任期与保修</w:t>
      </w:r>
      <w:bookmarkEnd w:id="526"/>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 缺陷责任期</w:t>
      </w:r>
      <w:bookmarkEnd w:id="527"/>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缺陷责任期的具体期限：</w:t>
      </w:r>
      <w:r>
        <w:rPr>
          <w:rFonts w:hint="eastAsia" w:ascii="宋体" w:hAnsi="宋体" w:cs="宋体"/>
          <w:color w:val="000000" w:themeColor="text1"/>
          <w:szCs w:val="21"/>
          <w:highlight w:val="none"/>
          <w:u w:val="single"/>
          <w14:textFill>
            <w14:solidFill>
              <w14:schemeClr w14:val="tx1"/>
            </w14:solidFill>
          </w14:textFill>
        </w:rPr>
        <w:t xml:space="preserve">自实际竣工验收合格日期起计算，两年。</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 质量保证金</w:t>
      </w:r>
      <w:r/>
    </w:p>
    <w:p>
      <w:pPr>
        <w:pStyle w:val="1107"/>
        <w:ind w:firstLine="420"/>
        <w:spacing w:line="360" w:lineRule="auto"/>
        <w:rPr>
          <w:rFonts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关于是否扣留质量保证金的约定：</w:t>
      </w:r>
      <w:r>
        <w:rPr>
          <w:rFonts w:hint="eastAsia" w:ascii="宋体" w:hAnsi="宋体" w:cs="宋体"/>
          <w:color w:val="000000" w:themeColor="text1"/>
          <w:sz w:val="21"/>
          <w:szCs w:val="21"/>
          <w:highlight w:val="none"/>
          <w:u w:val="single"/>
          <w14:textFill>
            <w14:solidFill>
              <w14:schemeClr w14:val="tx1"/>
            </w14:solidFill>
          </w14:textFill>
        </w:rPr>
        <w:t xml:space="preserve">扣留3%工程款作为质保金。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15.3.1 承包人提供质量保证金的方式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质量保证金采用以下第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 种方式：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（1）质量保证金保函，保证金额为：</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 3 </w:t>
      </w:r>
      <w:r>
        <w:rPr>
          <w:rFonts w:hint="eastAsia" w:ascii="宋体" w:hAnsi="宋体" w:cs="宋体"/>
          <w:color w:val="000000" w:themeColor="text1"/>
          <w:szCs w:val="21"/>
          <w:highlight w:val="none"/>
          <w14:textFill>
            <w14:solidFill>
              <w14:schemeClr w14:val="tx1"/>
            </w14:solidFill>
          </w14:textFill>
        </w:rPr>
        <w:t xml:space="preserve">%的工程款；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（3）其他方式:</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15.3.2 质量保证金的扣留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质量保证金的扣留采取以下第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（2）工程竣工结算时一次性扣留质量保证金；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（3）其他扣留方式: </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关于质量保证金的补充约定：</w:t>
      </w:r>
      <w:r>
        <w:rPr>
          <w:rFonts w:hint="eastAsia" w:ascii="宋体" w:hAnsi="宋体" w:cs="宋体"/>
          <w:color w:val="000000" w:themeColor="text1"/>
          <w:szCs w:val="21"/>
          <w:highlight w:val="none"/>
          <w:u w:val="single"/>
          <w14:textFill>
            <w14:solidFill>
              <w14:schemeClr w14:val="tx1"/>
            </w14:solidFill>
          </w14:textFill>
        </w:rPr>
        <w:t xml:space="preserve">质保期满后，如无问题，一次性退还。</w:t>
      </w:r>
      <w:bookmarkEnd w:id="528"/>
      <w:r/>
      <w:bookmarkEnd w:id="529"/>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15.4保修</w:t>
      </w:r>
      <w:bookmarkEnd w:id="530"/>
      <w:r/>
      <w:r/>
    </w:p>
    <w:p>
      <w:pPr>
        <w:ind w:firstLine="409"/>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15.4.1 保修责任</w:t>
      </w:r>
      <w:r/>
    </w:p>
    <w:p>
      <w:pPr>
        <w:ind w:firstLine="409"/>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工程保修期为：</w:t>
      </w:r>
      <w:r>
        <w:rPr>
          <w:rFonts w:hint="eastAsia" w:ascii="宋体" w:hAnsi="宋体" w:cs="宋体"/>
          <w:color w:val="000000" w:themeColor="text1"/>
          <w:szCs w:val="21"/>
          <w:highlight w:val="none"/>
          <w:u w:val="single"/>
          <w14:textFill>
            <w14:solidFill>
              <w14:schemeClr w14:val="tx1"/>
            </w14:solidFill>
          </w14:textFill>
        </w:rPr>
        <w:t xml:space="preserve">详见《工程质量保修书》。</w:t>
      </w:r>
      <w:r/>
    </w:p>
    <w:p>
      <w:pPr>
        <w:ind w:firstLine="409"/>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15.4.3 修复通知</w:t>
      </w:r>
      <w:r/>
    </w:p>
    <w:p>
      <w:pPr>
        <w:ind w:firstLine="409"/>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承包人收到保修通知并到达工程现场的合理时间：</w:t>
      </w:r>
      <w:r>
        <w:rPr>
          <w:rFonts w:hint="eastAsia" w:ascii="宋体" w:hAnsi="宋体" w:cs="宋体"/>
          <w:color w:val="000000" w:themeColor="text1"/>
          <w:szCs w:val="21"/>
          <w:highlight w:val="none"/>
          <w:u w:val="single"/>
          <w14:textFill>
            <w14:solidFill>
              <w14:schemeClr w14:val="tx1"/>
            </w14:solidFill>
          </w14:textFill>
        </w:rPr>
        <w:t xml:space="preserve">原则上 24 小时内，特殊情况应提前到达现场。</w:t>
      </w:r>
      <w:bookmarkEnd w:id="531"/>
      <w:r/>
      <w:bookmarkEnd w:id="532"/>
      <w:r/>
      <w:bookmarkEnd w:id="533"/>
      <w:r/>
      <w:bookmarkEnd w:id="534"/>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557" w:name="_Toc351203648"/>
      <w:r/>
      <w:bookmarkStart w:id="558" w:name="_Toc351203649"/>
      <w:r/>
      <w:bookmarkStart w:id="559" w:name="_Toc280868717"/>
      <w:r/>
      <w:bookmarkStart w:id="560" w:name="_Toc280868718"/>
      <w:r>
        <w:rPr>
          <w:rFonts w:hint="eastAsia" w:ascii="宋体" w:hAnsi="宋体" w:cs="宋体"/>
          <w:color w:val="000000" w:themeColor="text1"/>
          <w:szCs w:val="21"/>
          <w:highlight w:val="none"/>
          <w14:textFill>
            <w14:solidFill>
              <w14:schemeClr w14:val="tx1"/>
            </w14:solidFill>
          </w14:textFill>
        </w:rPr>
        <w:t xml:space="preserve">16. 违约</w:t>
      </w:r>
      <w:bookmarkEnd w:id="557"/>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 发包人违约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16.1.1发包人违约的情形</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发包人违约的其他情形：</w:t>
      </w:r>
      <w:r>
        <w:rPr>
          <w:rFonts w:hint="eastAsia" w:ascii="宋体" w:hAnsi="宋体" w:cs="宋体"/>
          <w:color w:val="000000" w:themeColor="text1"/>
          <w:szCs w:val="21"/>
          <w:highlight w:val="none"/>
          <w:u w:val="single"/>
          <w14:textFill>
            <w14:solidFill>
              <w14:schemeClr w14:val="tx1"/>
            </w14:solidFill>
          </w14:textFill>
        </w:rPr>
        <w:t xml:space="preserve"> 按通用条款执行  </w:t>
      </w:r>
      <w:r/>
    </w:p>
    <w:p>
      <w:pPr>
        <w:ind w:left="1050" w:hanging="105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16.1.2 发包人违约的责任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发包人违约责任的承担方式和计算方法：</w:t>
      </w:r>
      <w:r/>
    </w:p>
    <w:p>
      <w:pPr>
        <w:numPr>
          <w:ilvl w:val="0"/>
          <w:numId w:val="1"/>
        </w:num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因发包人原因未能在计划开工日期前7天内下达开工通知的违约责任：</w:t>
      </w:r>
      <w:r>
        <w:rPr>
          <w:rFonts w:hint="eastAsia" w:ascii="宋体" w:hAnsi="宋体" w:cs="宋体"/>
          <w:color w:val="000000" w:themeColor="text1"/>
          <w:szCs w:val="21"/>
          <w:highlight w:val="none"/>
          <w:u w:val="single"/>
          <w14:textFill>
            <w14:solidFill>
              <w14:schemeClr w14:val="tx1"/>
            </w14:solidFill>
          </w14:textFill>
        </w:rPr>
        <w:t xml:space="preserve">工期予以顺延。</w:t>
      </w:r>
      <w:r/>
    </w:p>
    <w:p>
      <w:pPr>
        <w:numPr>
          <w:ilvl w:val="0"/>
          <w:numId w:val="1"/>
        </w:num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因发包人原因未能按合同约定支付合同价款的违约责任</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Cs w:val="21"/>
          <w:highlight w:val="none"/>
          <w:u w:val="single"/>
          <w14:textFill>
            <w14:solidFill>
              <w14:schemeClr w14:val="tx1"/>
            </w14:solidFill>
          </w14:textFill>
        </w:rPr>
        <w:t xml:space="preserve">另行商议。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（5）因发包人违反合同约定造成暂停施工的违约责任：</w:t>
      </w:r>
      <w:r>
        <w:rPr>
          <w:rFonts w:hint="eastAsia" w:ascii="宋体" w:hAnsi="宋体" w:cs="宋体"/>
          <w:color w:val="000000" w:themeColor="text1"/>
          <w:szCs w:val="21"/>
          <w:highlight w:val="none"/>
          <w:u w:val="single"/>
          <w14:textFill>
            <w14:solidFill>
              <w14:schemeClr w14:val="tx1"/>
            </w14:solidFill>
          </w14:textFill>
        </w:rPr>
        <w:t xml:space="preserve">另行商议。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Cs w:val="21"/>
          <w:highlight w:val="none"/>
          <w:u w:val="single"/>
          <w14:textFill>
            <w14:solidFill>
              <w14:schemeClr w14:val="tx1"/>
            </w14:solidFill>
          </w14:textFill>
        </w:rPr>
        <w:t xml:space="preserve">另行商议。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（7）其他：</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16.1.3 因发包人违约解除合同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承包人按16.1.1项〔发包人违约的情形〕约定暂停施工满</w:t>
      </w:r>
      <w:r>
        <w:rPr>
          <w:rFonts w:hint="eastAsia" w:ascii="宋体" w:hAnsi="宋体" w:cs="宋体"/>
          <w:color w:val="000000" w:themeColor="text1"/>
          <w:szCs w:val="21"/>
          <w:highlight w:val="none"/>
          <w:u w:val="single"/>
          <w14:textFill>
            <w14:solidFill>
              <w14:schemeClr w14:val="tx1"/>
            </w14:solidFill>
          </w14:textFill>
        </w:rPr>
        <w:t xml:space="preserve"> 60 </w:t>
      </w:r>
      <w:r>
        <w:rPr>
          <w:rFonts w:hint="eastAsia" w:ascii="宋体" w:hAnsi="宋体" w:cs="宋体"/>
          <w:color w:val="000000" w:themeColor="text1"/>
          <w:szCs w:val="21"/>
          <w:highlight w:val="none"/>
          <w14:textFill>
            <w14:solidFill>
              <w14:schemeClr w14:val="tx1"/>
            </w14:solidFill>
          </w14:textFill>
        </w:rPr>
        <w:t xml:space="preserve">天后发包人仍不纠正其违约行为并致使合同目的不能实现的，承包人有权解除合同。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 承包人违约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16.2.1 承包人违约的情形</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承包人违约的其他情形：</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16.2.2 承包人违约的责任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承包人违约责任的承担方式和计算方法：</w:t>
      </w:r>
      <w:r>
        <w:rPr>
          <w:rFonts w:hint="eastAsia" w:ascii="宋体" w:hAnsi="宋体" w:cs="宋体"/>
          <w:color w:val="000000" w:themeColor="text1"/>
          <w:szCs w:val="21"/>
          <w:highlight w:val="none"/>
          <w:u w:val="single"/>
          <w14:textFill>
            <w14:solidFill>
              <w14:schemeClr w14:val="tx1"/>
            </w14:solidFill>
          </w14:textFill>
        </w:rPr>
        <w:t xml:space="preserve"> 合同中有约定的按约定执行，无约定的另行商议。</w:t>
      </w:r>
      <w:r/>
    </w:p>
    <w:p>
      <w:pPr>
        <w:ind w:firstLine="42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注：当承包人未按时支付农民工工资时，发包人有权从应付工程款或履约保证金中扣除，且承包人需承担由于拖欠农民工工资造成的一切损失并支付违约金。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16.2.3 因承包人违约解除合同</w:t>
      </w:r>
      <w:r/>
    </w:p>
    <w:p>
      <w:pPr>
        <w:ind w:firstLine="420"/>
        <w:jc w:val="left"/>
        <w:spacing w:before="120"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关于承包人违约解除合同的特别约定：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before="120"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Cs w:val="21"/>
          <w:highlight w:val="none"/>
          <w:u w:val="single"/>
          <w14:textFill>
            <w14:solidFill>
              <w14:schemeClr w14:val="tx1"/>
            </w14:solidFill>
          </w14:textFill>
        </w:rPr>
        <w:t xml:space="preserve">另行商议。</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17. 不可抗力</w:t>
      </w:r>
      <w:bookmarkEnd w:id="558"/>
      <w:r/>
      <w:bookmarkEnd w:id="559"/>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 不可抗力的确认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因不可抗力解除合同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合同解除后，发包人在商定或确定发包人应支付款项后</w:t>
      </w:r>
      <w:r>
        <w:rPr>
          <w:rFonts w:hint="eastAsia" w:ascii="宋体" w:hAnsi="宋体" w:cs="宋体"/>
          <w:color w:val="000000" w:themeColor="text1"/>
          <w:szCs w:val="21"/>
          <w:highlight w:val="none"/>
          <w:u w:val="single"/>
          <w14:textFill>
            <w14:solidFill>
              <w14:schemeClr w14:val="tx1"/>
            </w14:solidFill>
          </w14:textFill>
        </w:rPr>
        <w:t xml:space="preserve">经双方协商后</w:t>
      </w:r>
      <w:r>
        <w:rPr>
          <w:rFonts w:hint="eastAsia" w:ascii="宋体" w:hAnsi="宋体" w:cs="宋体"/>
          <w:color w:val="000000" w:themeColor="text1"/>
          <w:szCs w:val="21"/>
          <w:highlight w:val="none"/>
          <w14:textFill>
            <w14:solidFill>
              <w14:schemeClr w14:val="tx1"/>
            </w14:solidFill>
          </w14:textFill>
        </w:rPr>
        <w:t xml:space="preserve">完成款项的支付。</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561" w:name="_Toc351203650"/>
      <w:r>
        <w:rPr>
          <w:rFonts w:hint="eastAsia" w:ascii="宋体" w:hAnsi="宋体" w:cs="宋体"/>
          <w:color w:val="000000" w:themeColor="text1"/>
          <w:szCs w:val="21"/>
          <w:highlight w:val="none"/>
          <w14:textFill>
            <w14:solidFill>
              <w14:schemeClr w14:val="tx1"/>
            </w14:solidFill>
          </w14:textFill>
        </w:rPr>
        <w:t xml:space="preserve">18. 保险</w:t>
      </w:r>
      <w:bookmarkEnd w:id="561"/>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 工程保险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关于工程保险的特别约定：</w:t>
      </w:r>
      <w:r>
        <w:rPr>
          <w:rFonts w:hint="eastAsia" w:ascii="宋体" w:hAnsi="宋体" w:cs="宋体"/>
          <w:color w:val="000000" w:themeColor="text1"/>
          <w:szCs w:val="21"/>
          <w:highlight w:val="none"/>
          <w:u w:val="single"/>
          <w14:textFill>
            <w14:solidFill>
              <w14:schemeClr w14:val="tx1"/>
            </w14:solidFill>
          </w14:textFill>
        </w:rPr>
        <w:t xml:space="preserve">按江苏省及扬州市相关规定，应由承包人缴纳的保险必须按时依法办理。</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18.3 其他保险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关于其他保险的约定：</w:t>
      </w:r>
      <w:r>
        <w:rPr>
          <w:rFonts w:hint="eastAsia" w:ascii="宋体" w:hAnsi="宋体" w:cs="宋体"/>
          <w:color w:val="000000" w:themeColor="text1"/>
          <w:szCs w:val="21"/>
          <w:highlight w:val="none"/>
          <w:u w:val="single"/>
          <w14:textFill>
            <w14:solidFill>
              <w14:schemeClr w14:val="tx1"/>
            </w14:solidFill>
          </w14:textFill>
        </w:rPr>
        <w:t xml:space="preserve">按江苏省及扬州市相关规定，应由承包人缴纳的保险必须按时依法办理。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承包人是否应为其施工设备等办理财产保险：</w:t>
      </w:r>
      <w:r>
        <w:rPr>
          <w:rFonts w:hint="eastAsia" w:ascii="宋体" w:hAnsi="宋体" w:cs="宋体"/>
          <w:color w:val="000000" w:themeColor="text1"/>
          <w:szCs w:val="21"/>
          <w:highlight w:val="none"/>
          <w:u w:val="single"/>
          <w14:textFill>
            <w14:solidFill>
              <w14:schemeClr w14:val="tx1"/>
            </w14:solidFill>
          </w14:textFill>
        </w:rPr>
        <w:t xml:space="preserve">应该办理。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承包人是否应为从事危险作业的职工办理意外伤害保险：</w:t>
      </w:r>
      <w:r>
        <w:rPr>
          <w:rFonts w:hint="eastAsia" w:ascii="宋体" w:hAnsi="宋体" w:cs="宋体"/>
          <w:color w:val="000000" w:themeColor="text1"/>
          <w:szCs w:val="21"/>
          <w:highlight w:val="none"/>
          <w:u w:val="single"/>
          <w14:textFill>
            <w14:solidFill>
              <w14:schemeClr w14:val="tx1"/>
            </w14:solidFill>
          </w14:textFill>
        </w:rPr>
        <w:t xml:space="preserve">应该办理。</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18.7 通知义务</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关于变更保险合同时的通知义务的约定：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2"/>
        <w:jc w:val="left"/>
        <w:keepLines/>
        <w:keepNext/>
        <w:spacing w:before="120" w:after="120" w:line="360" w:lineRule="auto"/>
        <w:rPr>
          <w:rFonts w:ascii="宋体" w:hAnsi="宋体" w:cs="宋体"/>
          <w:b/>
          <w:bCs/>
          <w:color w:val="000000" w:themeColor="text1"/>
          <w:szCs w:val="21"/>
          <w:highlight w:val="none"/>
          <w14:textFill>
            <w14:solidFill>
              <w14:schemeClr w14:val="tx1"/>
            </w14:solidFill>
          </w14:textFill>
        </w:rPr>
        <w:outlineLvl w:val="3"/>
      </w:pPr>
      <w:r/>
      <w:bookmarkStart w:id="562" w:name="_Toc351203651"/>
      <w:r>
        <w:rPr>
          <w:rFonts w:hint="eastAsia" w:ascii="宋体" w:hAnsi="宋体" w:cs="宋体"/>
          <w:b/>
          <w:bCs/>
          <w:color w:val="000000" w:themeColor="text1"/>
          <w:szCs w:val="21"/>
          <w:highlight w:val="none"/>
          <w14:textFill>
            <w14:solidFill>
              <w14:schemeClr w14:val="tx1"/>
            </w14:solidFill>
          </w14:textFill>
        </w:rPr>
        <w:t xml:space="preserve">20. 争议解决</w:t>
      </w:r>
      <w:bookmarkEnd w:id="562"/>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 争议评审</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Cs w:val="21"/>
          <w:highlight w:val="none"/>
          <w:u w:val="single"/>
          <w14:textFill>
            <w14:solidFill>
              <w14:schemeClr w14:val="tx1"/>
            </w14:solidFill>
          </w14:textFill>
        </w:rPr>
        <w:t xml:space="preserve">同意。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20.3.1 争议评审小组的确定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争议评审小组成员的确定：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选定争议评审员的期限：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争议评审小组成员的报酬承担方式：</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其他事项的约定：</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20.3.2 争议评审小组的决定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合同当事人关于本项的约定：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60"/>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20.4 仲裁或诉讼</w:t>
      </w:r>
      <w:bookmarkEnd w:id="550"/>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因合同及合同有关事项发生的争议，按下列第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种方式解决：</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（1）向</w:t>
      </w:r>
      <w:r>
        <w:rPr>
          <w:rFonts w:hint="eastAsia" w:ascii="宋体" w:hAnsi="宋体" w:cs="宋体"/>
          <w:color w:val="000000" w:themeColor="text1"/>
          <w:szCs w:val="21"/>
          <w:highlight w:val="none"/>
          <w:u w:val="single"/>
          <w14:textFill>
            <w14:solidFill>
              <w14:schemeClr w14:val="tx1"/>
            </w14:solidFill>
          </w14:textFill>
        </w:rPr>
        <w:t xml:space="preserve">  扬州  </w:t>
      </w:r>
      <w:r>
        <w:rPr>
          <w:rFonts w:hint="eastAsia" w:ascii="宋体" w:hAnsi="宋体" w:cs="宋体"/>
          <w:color w:val="000000" w:themeColor="text1"/>
          <w:szCs w:val="21"/>
          <w:highlight w:val="none"/>
          <w14:textFill>
            <w14:solidFill>
              <w14:schemeClr w14:val="tx1"/>
            </w14:solidFill>
          </w14:textFill>
        </w:rPr>
        <w:t xml:space="preserve">仲裁委员会申请仲裁；</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（2）向</w:t>
      </w:r>
      <w:r>
        <w:rPr>
          <w:rFonts w:hint="eastAsia" w:ascii="宋体" w:hAnsi="宋体" w:cs="宋体"/>
          <w:color w:val="000000" w:themeColor="text1"/>
          <w:szCs w:val="21"/>
          <w:highlight w:val="none"/>
          <w:u w:val="single"/>
          <w14:textFill>
            <w14:solidFill>
              <w14:schemeClr w14:val="tx1"/>
            </w14:solidFill>
          </w14:textFill>
        </w:rPr>
        <w:t xml:space="preserve">  工程所在地 </w:t>
      </w:r>
      <w:r>
        <w:rPr>
          <w:rFonts w:hint="eastAsia" w:ascii="宋体" w:hAnsi="宋体" w:cs="宋体"/>
          <w:color w:val="000000" w:themeColor="text1"/>
          <w:szCs w:val="21"/>
          <w:highlight w:val="none"/>
          <w14:textFill>
            <w14:solidFill>
              <w14:schemeClr w14:val="tx1"/>
            </w14:solidFill>
          </w14:textFill>
        </w:rPr>
        <w:t xml:space="preserve">人民法院起诉。</w:t>
      </w:r>
      <w:bookmarkEnd w:id="551"/>
      <w:r/>
      <w:bookmarkEnd w:id="552"/>
      <w:r/>
      <w:bookmarkEnd w:id="553"/>
      <w:r/>
      <w:bookmarkEnd w:id="554"/>
      <w:r/>
      <w:bookmarkEnd w:id="555"/>
      <w:r/>
      <w:bookmarkEnd w:id="556"/>
      <w:r/>
      <w:bookmarkStart w:id="563" w:name="_Toc351203652"/>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left"/>
        <w:spacing w:line="360" w:lineRule="auto"/>
        <w:rPr>
          <w:rFonts w:ascii="宋体" w:hAnsi="宋体" w:cs="宋体"/>
          <w:b/>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rtlGutter/>
          <w:cols w:num="1" w:sep="0" w:space="720" w:equalWidth="1"/>
          <w:docGrid w:linePitch="360"/>
        </w:sectPr>
      </w:pPr>
      <w:r>
        <w:rPr>
          <w:rFonts w:ascii="宋体" w:hAnsi="宋体" w:cs="宋体"/>
          <w:b/>
          <w:color w:val="000000" w:themeColor="text1"/>
          <w:highlight w:val="none"/>
          <w14:textFill>
            <w14:solidFill>
              <w14:schemeClr w14:val="tx1"/>
            </w14:solidFill>
          </w14:textFill>
        </w:rPr>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w:t>
      </w:r>
      <w:bookmarkEnd w:id="563"/>
      <w:r>
        <w:rPr>
          <w:rFonts w:hint="eastAsia" w:ascii="宋体" w:hAnsi="宋体" w:cs="宋体"/>
          <w:b/>
          <w:color w:val="000000" w:themeColor="text1"/>
          <w:szCs w:val="21"/>
          <w:highlight w:val="none"/>
          <w14:textFill>
            <w14:solidFill>
              <w14:schemeClr w14:val="tx1"/>
            </w14:solidFill>
          </w14:textFill>
        </w:rPr>
        <w:t xml:space="preserve">件1</w:t>
      </w:r>
      <w:r/>
    </w:p>
    <w:p>
      <w:pPr>
        <w:jc w:val="center"/>
        <w:spacing w:line="360" w:lineRule="auto"/>
        <w:rPr>
          <w:rFonts w:ascii="宋体" w:hAnsi="宋体" w:cs="宋体"/>
          <w:color w:val="000000" w:themeColor="text1"/>
          <w:sz w:val="24"/>
          <w:szCs w:val="24"/>
          <w:highlight w:val="none"/>
          <w14:textFill>
            <w14:solidFill>
              <w14:schemeClr w14:val="tx1"/>
            </w14:solidFill>
          </w14:textFill>
        </w:rPr>
      </w:pPr>
      <w:r/>
      <w:bookmarkStart w:id="564" w:name="_Toc16315"/>
      <w:r/>
      <w:bookmarkStart w:id="565" w:name="_Toc32629"/>
      <w:r>
        <w:rPr>
          <w:rFonts w:hint="eastAsia" w:ascii="宋体" w:hAnsi="宋体" w:cs="宋体"/>
          <w:b/>
          <w:bCs/>
          <w:color w:val="000000" w:themeColor="text1"/>
          <w:sz w:val="24"/>
          <w:szCs w:val="24"/>
          <w:highlight w:val="none"/>
          <w14:textFill>
            <w14:solidFill>
              <w14:schemeClr w14:val="tx1"/>
            </w14:solidFill>
          </w14:textFill>
        </w:rPr>
        <w:t xml:space="preserve">工程质量保修书</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甲方（全称）：</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乙方（全称）：</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发包人和承包人根据《中华人民共和国建筑法》和《建设工程质量管理条例》，经协商一致（工程全称）签订工程质量保修书。</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一、工程质量保修范围和内容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承包人在质量保修期内，按照有关法律规定和合同约定，承担工程质量保修责任。</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themeColor="text1"/>
          <w:szCs w:val="21"/>
          <w:highlight w:val="none"/>
          <w:u w:val="single"/>
          <w14:textFill>
            <w14:solidFill>
              <w14:schemeClr w14:val="tx1"/>
            </w14:solidFill>
          </w14:textFill>
        </w:rPr>
        <w:t xml:space="preserve">施工图及工程量清单范围内所有内容均在保修范围。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二、质量保修期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1、根据《建设工程质量管理条例》及有关规定，工程的质量保修期如下：</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（1）地基基础工程和主体结构工程为设计文件规定的工程合理使用年限；</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（2）屋面防水工程、有防水要求的卫生间、房间和外墙面的防渗为</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（3）装修工程为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（4）电气管线、给排水管道、设备安装工程为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（5）供热与供冷系统为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个采暖期、供冷期；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（6）住宅小区内的给排水设施、道路等配套工程为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（7）市政工程为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自工程全部竣工验收合格之日起开始计算。</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2、在承包人对质量保证期内出现的质量问题进行维修时，承包人应相应延长维修或更换部分的质量保证期。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3、质量保证期内因发包人原因或自然灾害而造成的损坏，承包人不承担保修责任，但承包人有义务对此进行维修，维修发生的材料和人工费用由发包人承担。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三、缺陷责任期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工程缺陷责任期为</w:t>
      </w:r>
      <w:r>
        <w:rPr>
          <w:rFonts w:hint="eastAsia" w:ascii="宋体" w:hAnsi="宋体" w:cs="宋体"/>
          <w:color w:val="000000" w:themeColor="text1"/>
          <w:szCs w:val="21"/>
          <w:highlight w:val="none"/>
          <w:u w:val="single"/>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缺陷责任期终止后，发包人应退还剩余的质量保证金。</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四、质量保修责任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2．发生紧急事故需抢修的，承包人在接到事故通知后，应当立即到达事故现场抢修。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4．质量保修完成后，由发包人组织验收。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五、保修费用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保修费用由造成质量缺陷的责任方承担。</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六、双方约定的其他工程质量保修事项：</w:t>
      </w:r>
      <w:r>
        <w:rPr>
          <w:rFonts w:hint="eastAsia" w:ascii="宋体" w:hAnsi="宋体" w:cs="宋体"/>
          <w:color w:val="000000" w:themeColor="text1"/>
          <w:szCs w:val="21"/>
          <w:highlight w:val="none"/>
          <w:u w:val="single"/>
          <w14:textFill>
            <w14:solidFill>
              <w14:schemeClr w14:val="tx1"/>
            </w14:solidFill>
          </w14:textFill>
        </w:rPr>
        <w:t xml:space="preserve">保修期内因承包人不能及时履行保修义务，发包人有权另请第三方维修，费用按实际发生费用的2倍从保修金中扣除。</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甲方(公章)：                        乙方(公章)：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                            地  址：</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                        法定代表人或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委托代理人(签字)：                  委托代理人(签字)：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                            电  话：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                            传  真：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   年    月    日               </w:t>
      </w:r>
      <w:r/>
    </w:p>
    <w:p>
      <w:pPr>
        <w:pStyle w:val="1096"/>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施工安全协议书</w:t>
      </w: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发包方：</w:t>
      </w:r>
      <w:r>
        <w:rPr>
          <w:rFonts w:hint="eastAsia" w:ascii="宋体" w:hAnsi="宋体"/>
          <w:color w:val="000000" w:themeColor="text1"/>
          <w:szCs w:val="21"/>
          <w:highlight w:val="none"/>
          <w:u w:val="single"/>
          <w14:textFill>
            <w14:solidFill>
              <w14:schemeClr w14:val="tx1"/>
            </w14:solidFill>
          </w14:textFill>
        </w:rPr>
        <w:t xml:space="preserve">扬州市江都区丁沟镇人民政府</w:t>
      </w:r>
      <w:r>
        <w:rPr>
          <w:rFonts w:hint="eastAsia" w:ascii="宋体" w:hAnsi="宋体"/>
          <w:color w:val="000000" w:themeColor="text1"/>
          <w:szCs w:val="21"/>
          <w:highlight w:val="none"/>
          <w14:textFill>
            <w14:solidFill>
              <w14:schemeClr w14:val="tx1"/>
            </w14:solidFill>
          </w14:textFill>
        </w:rPr>
        <w:t xml:space="preserve">（以下简称甲方）</w:t>
      </w: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承包方：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以下简称乙方）</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甲方将</w:t>
      </w:r>
      <w:r>
        <w:rPr>
          <w:rFonts w:hint="eastAsia" w:ascii="宋体" w:hAnsi="宋体" w:cs="宋体"/>
          <w:color w:val="000000" w:themeColor="text1"/>
          <w:spacing w:val="7"/>
          <w:szCs w:val="21"/>
          <w:highlight w:val="none"/>
          <w:u w:val="single"/>
          <w14:textFill>
            <w14:solidFill>
              <w14:schemeClr w14:val="tx1"/>
            </w14:solidFill>
          </w14:textFill>
        </w:rPr>
        <w:t xml:space="preserve">丁泰河沿线环境应急三级防控体系建设项目（市政雨水管网及提升泵）</w:t>
      </w:r>
      <w:r>
        <w:rPr>
          <w:rFonts w:hint="eastAsia" w:ascii="宋体" w:hAnsi="宋体"/>
          <w:color w:val="000000" w:themeColor="text1"/>
          <w:szCs w:val="21"/>
          <w:highlight w:val="none"/>
          <w14:textFill>
            <w14:solidFill>
              <w14:schemeClr w14:val="tx1"/>
            </w14:solidFill>
          </w14:textFill>
        </w:rPr>
        <w:t xml:space="preserve">项目委托乙方实施，为贯彻“安全第一，预防为主”的方针，根据国家有关法规，明确双方的安全生产责任，确保施工安全，双方在签订施工合同的同时，签订本协议，本协议系工程承包合同书中不可分割的内容之一。</w:t>
      </w: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一、承包工程项目：</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l、工程项目名称：</w:t>
      </w:r>
      <w:r>
        <w:rPr>
          <w:rFonts w:hint="eastAsia" w:ascii="宋体" w:hAnsi="宋体" w:cs="宋体"/>
          <w:color w:val="000000" w:themeColor="text1"/>
          <w:spacing w:val="7"/>
          <w:szCs w:val="21"/>
          <w:highlight w:val="none"/>
          <w:u w:val="single"/>
          <w14:textFill>
            <w14:solidFill>
              <w14:schemeClr w14:val="tx1"/>
            </w14:solidFill>
          </w14:textFill>
        </w:rPr>
        <w:t xml:space="preserve">丁泰河沿线环境应急三级防控体系建设项目（市政雨水管网及提升泵）</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2、工程地址：</w:t>
      </w:r>
      <w:r>
        <w:rPr>
          <w:rFonts w:hint="eastAsia" w:ascii="宋体" w:hAnsi="宋体"/>
          <w:color w:val="000000" w:themeColor="text1"/>
          <w:szCs w:val="21"/>
          <w:highlight w:val="none"/>
          <w:u w:val="single"/>
          <w14:textFill>
            <w14:solidFill>
              <w14:schemeClr w14:val="tx1"/>
            </w14:solidFill>
          </w14:textFill>
        </w:rPr>
        <w:t xml:space="preserve">江都区丁沟镇</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3、承包范围：</w:t>
      </w:r>
      <w:r>
        <w:rPr>
          <w:rFonts w:hint="eastAsia" w:ascii="宋体" w:hAnsi="宋体"/>
          <w:color w:val="000000" w:themeColor="text1"/>
          <w:szCs w:val="21"/>
          <w:highlight w:val="none"/>
          <w:u w:val="single"/>
          <w14:textFill>
            <w14:solidFill>
              <w14:schemeClr w14:val="tx1"/>
            </w14:solidFill>
          </w14:textFill>
        </w:rPr>
        <w:t xml:space="preserve">具体内容详见工程量清单。</w:t>
      </w: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二、工程项目期限：</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自合同签订之日起至合同履行完毕终止。</w:t>
      </w: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三、协议内容：</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1、双方必须认真贯彻执行国家有关劳动保护法规、条例规定。</w:t>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2、乙方应建立和健全安全管理制度并配有分管安全生产的领导及专职或兼职的安全人员。施工期间，乙方派同志负责本工程项目的有关安全、防火工作，并负责与甲方联络。甲方指派同志负责联系。</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3、进作业场所前甲方应对乙方的管理，施工人员进行安全生产进场教育，介绍有关安全生产情况和要求。乙方应认真组织本单位职工进行安全生产制度及安全技术知识教育，提高职工安全意识和自我保护能力。</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4、乙方在施工期间必须严格执行和遵守安全生产、防火管理及设计工艺有关的各项规定。</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5、乙方在施工期间用电，必须遵守甲方的用电规范，不得私自接电。</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6、乙方应按照“安全自查、隐患自改、责任自负”的原则，加强对施工场所的日常安全检查，及时制止和处理各类违章违纪行为，对查到的隐患应及时组织整改。</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7、在生产操作过程中的个人防护用品由乙方自理。乙方应督促现场施工人员自觉穿戴好防护用品。</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乙方在施工期间所使用的各种设备以及工具等均应由乙方自备，各类设备与工具在使用前进行检验合格后才能投入使用，并严格执行安全操作规程，在使用过程中，由于设备、工具因素或使用操作不当而造成伤亡事故均由乙方负责。</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9、乙方应在施工现场设置警戒标志等安全措施，并不得拆除施工现场各类安全防护设施、安全防火标志和警告牌，否则一切后果应由乙方负责。</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10、乙方人员因工程需要进行明火作业，必须采取有效的安全措施后，方能明火作业，同时在明火作业中应随时注意作业场所及邻近区域的情况，发现不安全因素要及时采取安全措施后方可继续施工。</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11、乙方特种作业人员必须经过特种作业安全技术考核部培训考核后持证上岗。特种作业操作证的人员须经江苏省劳动部门考核站进行审证教育。</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12、贯彻先订合同后施工原则，甲方不得安排乙方从事与本项目无关的施工任务，如安排，乙方应拒绝，否则由此发生的一切费用或由此造成的一切后果均由接受方承担。</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贯彻“谁施工谁负责”安全的原则。乙方对所施工场所的安全生产负责。在施工期间乙方在从事本职工作中如发生伤亡等事故，按有关规定，由乙方半小时内负责统计上报并及时做好事故善后处理。甲方发(分)包给乙方施工的工程原则上不得转包，乙方若确因工程需要分包给其他施工队而发生的各种事故概由乙方承担。甲方应本着人道主义原则，对乙方因伤亡人员提供必要的救治方便，其费用由乙方承担并在工程结束后，再从合同款中扣除。</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14、乙方应在第一时间向甲方负责人通报任何安全事故。</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15、乙方应保持文明施工，施工过程中或工程结束后要保持现场清洁卫生。</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16、采取有效控制措施、减少环境污染、降低能源资源消耗、有效保障工作人员健康作业环境。</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17、本协议以双方签字、盖章有效，作为承、发包合同书正本附件。</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18、其他未尽事宜或产生争端双方协商解决，也可签订补充协议和合同，如不能解决，应直接向工程所在地有管辖权的人民法院提起诉讼。</w:t>
      </w:r>
      <w:r/>
    </w:p>
    <w:p>
      <w:pPr>
        <w:jc w:val="left"/>
        <w:spacing w:line="360" w:lineRule="auto"/>
        <w:tabs>
          <w:tab w:val="left" w:pos="737"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737"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737"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737" w:leader="none"/>
        </w:tabs>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w:t>
      </w:r>
      <w:r>
        <w:rPr>
          <w:rFonts w:hint="eastAsia" w:ascii="宋体" w:hAnsi="宋体"/>
          <w:bCs/>
          <w:color w:val="000000" w:themeColor="text1"/>
          <w:szCs w:val="21"/>
          <w:highlight w:val="none"/>
          <w14:textFill>
            <w14:solidFill>
              <w14:schemeClr w14:val="tx1"/>
            </w14:solidFill>
          </w14:textFill>
        </w:rPr>
        <w:t xml:space="preserve">（盖章）</w:t>
      </w: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乙方</w:t>
      </w:r>
      <w:r>
        <w:rPr>
          <w:rFonts w:hint="eastAsia" w:ascii="宋体" w:hAnsi="宋体"/>
          <w:bCs/>
          <w:color w:val="000000" w:themeColor="text1"/>
          <w:szCs w:val="21"/>
          <w:highlight w:val="none"/>
          <w14:textFill>
            <w14:solidFill>
              <w14:schemeClr w14:val="tx1"/>
            </w14:solidFill>
          </w14:textFill>
        </w:rPr>
        <w:t xml:space="preserve">（盖章）： </w:t>
      </w:r>
      <w:r/>
    </w:p>
    <w:p>
      <w:pPr>
        <w:jc w:val="left"/>
        <w:spacing w:line="360" w:lineRule="auto"/>
        <w:tabs>
          <w:tab w:val="left" w:pos="737" w:leader="none"/>
        </w:tabs>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jc w:val="left"/>
        <w:spacing w:line="360" w:lineRule="auto"/>
        <w:tabs>
          <w:tab w:val="left" w:pos="737"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                      法定代表人：</w:t>
      </w:r>
      <w:r/>
    </w:p>
    <w:p>
      <w:pPr>
        <w:jc w:val="left"/>
        <w:spacing w:line="360" w:lineRule="auto"/>
        <w:tabs>
          <w:tab w:val="left" w:pos="737" w:leader="none"/>
        </w:tabs>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或其授权的代理人：                或其授权的代理人：</w:t>
      </w:r>
      <w:r/>
    </w:p>
    <w:p>
      <w:pPr>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项目负责人</w:t>
      </w: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项目负责人</w:t>
      </w:r>
      <w:r>
        <w:rPr>
          <w:rFonts w:hint="eastAsia" w:ascii="宋体" w:hAnsi="宋体"/>
          <w:bCs/>
          <w:color w:val="000000" w:themeColor="text1"/>
          <w:szCs w:val="21"/>
          <w:highlight w:val="none"/>
          <w14:textFill>
            <w14:solidFill>
              <w14:schemeClr w14:val="tx1"/>
            </w14:solidFill>
          </w14:textFill>
        </w:rPr>
        <w:t xml:space="preserve">：</w:t>
      </w:r>
      <w:r/>
    </w:p>
    <w:p>
      <w:pPr>
        <w:pStyle w:val="11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p>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扬州市工程建设项目廉政合同</w:t>
      </w:r>
      <w:r/>
    </w:p>
    <w:p>
      <w:pPr>
        <w:pStyle w:val="1122"/>
        <w:ind w:left="1470" w:hanging="105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工程项目名称：丁泰河沿线环境应急三级防控体系建设项目（市政雨水管网及提升泵）</w:t>
      </w:r>
      <w:r/>
    </w:p>
    <w:p>
      <w:pPr>
        <w:pStyle w:val="1123"/>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工程项目地址：江都区丁沟镇</w:t>
      </w:r>
      <w:r/>
    </w:p>
    <w:p>
      <w:pPr>
        <w:ind w:firstLine="525"/>
        <w:spacing w:line="360" w:lineRule="auto"/>
        <w:tabs>
          <w:tab w:val="left" w:pos="633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建设单位（甲方）：</w:t>
      </w:r>
      <w:r>
        <w:rPr>
          <w:rFonts w:hint="eastAsia" w:ascii="宋体" w:hAnsi="宋体" w:cs="宋体"/>
          <w:color w:val="000000" w:themeColor="text1"/>
          <w:szCs w:val="21"/>
          <w:highlight w:val="none"/>
          <w:u w:val="single"/>
          <w14:textFill>
            <w14:solidFill>
              <w14:schemeClr w14:val="tx1"/>
            </w14:solidFill>
          </w14:textFill>
        </w:rPr>
        <w:t xml:space="preserve">扬州市江都区丁沟镇人民政府</w:t>
      </w:r>
      <w:r/>
    </w:p>
    <w:p>
      <w:pPr>
        <w:pStyle w:val="1123"/>
        <w:ind w:firstLine="525"/>
        <w:spacing w:line="360" w:lineRule="auto"/>
        <w:tabs>
          <w:tab w:val="left" w:pos="1080" w:leader="none"/>
          <w:tab w:val="left" w:pos="1440" w:leader="none"/>
        </w:tabs>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施工单位（乙方）： </w:t>
      </w:r>
      <w:r/>
    </w:p>
    <w:p>
      <w:pPr>
        <w:pStyle w:val="1123"/>
        <w:ind w:firstLine="21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1123"/>
        <w:ind w:firstLine="56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第一条 甲乙双方的责任</w:t>
      </w:r>
      <w:r/>
    </w:p>
    <w:p>
      <w:pPr>
        <w:pStyle w:val="1123"/>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（一）甲、乙双方应加强对本方人员的廉政监督，健立和健全廉政制度。</w:t>
      </w:r>
      <w:r/>
    </w:p>
    <w:p>
      <w:pPr>
        <w:pStyle w:val="1123"/>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（二）甲、乙双方有对本方人员开展廉政告知、廉政教育和职业道德教育的义务。</w:t>
      </w:r>
      <w:r/>
    </w:p>
    <w:p>
      <w:pPr>
        <w:pStyle w:val="1123"/>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（三）甲、乙双方应严格遵守国家关于市场准入、项目招标投标、工程建设、施工安装和市场活动等有关法律、法规，相关政策，以及廉政建设的各项规定。</w:t>
      </w:r>
      <w:r/>
    </w:p>
    <w:p>
      <w:pPr>
        <w:pStyle w:val="1123"/>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（四）甲、乙双方严格执行建设工程项目承发包合同文件，自觉按合同办事。</w:t>
      </w:r>
      <w:r/>
    </w:p>
    <w:p>
      <w:pPr>
        <w:pStyle w:val="1123"/>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（五）甲、乙双方业务活动必须坚持公开、公平、公正、诚信、透明的原则（除法律法规另有规定者外），不得为获取不正当的利益，损害国家、集体和利益，不得违反工程建设管理、施工安装的规章制度。</w:t>
      </w:r>
      <w:r/>
    </w:p>
    <w:p>
      <w:pPr>
        <w:pStyle w:val="1123"/>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（六）甲、乙双方发现对方在业务活动中违规、违纪、违法行为的，应及时提醒对方，情节严重的，应向其上级主管部门或纪检监察、司法等有关机关举报。</w:t>
      </w:r>
      <w:r/>
    </w:p>
    <w:p>
      <w:pPr>
        <w:pStyle w:val="1123"/>
        <w:ind w:firstLine="56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第二条 甲方在廉政建设方面的责任</w:t>
      </w:r>
      <w:r/>
    </w:p>
    <w:p>
      <w:pPr>
        <w:pStyle w:val="1123"/>
        <w:ind w:left="141"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（一）不准向乙方和相关单位索要或接受回扣、礼金、有价证券、贵重物品和好处费、感谢费等。</w:t>
      </w:r>
      <w:r/>
    </w:p>
    <w:p>
      <w:pPr>
        <w:pStyle w:val="1123"/>
        <w:ind w:firstLine="56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（二）不准向乙方和相关单位报销任何应由甲方或个人支付的费用。</w:t>
      </w:r>
      <w:r/>
    </w:p>
    <w:p>
      <w:pPr>
        <w:pStyle w:val="1123"/>
        <w:ind w:left="141"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（三）不准要求、暗示和接受乙方和相关单位为个人装修住房、婚丧嫁娶、配偶子女的工作安排以及出国（境）、旅游等提供方便。</w:t>
      </w:r>
      <w:r/>
    </w:p>
    <w:p>
      <w:pPr>
        <w:pStyle w:val="1123"/>
        <w:ind w:left="141"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（四）不准发出或参加有可能影响公正执行公务的乙方和相关单位的宴请和健身、娱乐等活动。              </w:t>
      </w:r>
      <w:r/>
    </w:p>
    <w:p>
      <w:pPr>
        <w:pStyle w:val="1123"/>
        <w:ind w:firstLine="56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（五）服从市场管理，并遵从有关规定，不提不合理的要求和条件；</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（六）不准预定框框、照顾关系，造成不公平竞争；</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（七）不准向评委施加任何倾向性影响；</w:t>
      </w:r>
      <w:r/>
    </w:p>
    <w:p>
      <w:pPr>
        <w:pStyle w:val="1123"/>
        <w:ind w:left="141"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1123"/>
        <w:ind w:firstLine="70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第三条 乙方廉政建设方面的责任</w:t>
      </w:r>
      <w:r/>
    </w:p>
    <w:p>
      <w:pPr>
        <w:pStyle w:val="1123"/>
        <w:ind w:left="141"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（一）不准以任何理由向甲方、相关单位及其工作人员赠送礼金、有价证券、贵重物品等。</w:t>
      </w:r>
      <w:r/>
    </w:p>
    <w:p>
      <w:pPr>
        <w:pStyle w:val="1123"/>
        <w:ind w:left="141"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（二）不准以任何理由为甲方和相关单位报销应由对方或个人支付的费用。</w:t>
      </w:r>
      <w:r/>
    </w:p>
    <w:p>
      <w:pPr>
        <w:pStyle w:val="1123"/>
        <w:ind w:left="141"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（三）不准接受或暗示为甲方、相关单位或个人装修住房、婚丧嫁娶、配偶子女的工作安排以及出国（境）、旅游等提供方便。</w:t>
      </w:r>
      <w:r/>
    </w:p>
    <w:p>
      <w:pPr>
        <w:pStyle w:val="1123"/>
        <w:ind w:left="141"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（四）不准以任何理由为甲方、相关单位或个人组织有可能影响公正执行公务的宴请、健身、娱乐等活动。</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（五）不准通过关系对甲方、相关单位或个人施加影响；</w:t>
      </w:r>
      <w:r/>
    </w:p>
    <w:p>
      <w:pPr>
        <w:pStyle w:val="1123"/>
        <w:ind w:firstLine="70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第四条 违约责任</w:t>
      </w:r>
      <w:r/>
    </w:p>
    <w:p>
      <w:pPr>
        <w:pStyle w:val="1123"/>
        <w:ind w:left="141"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pStyle w:val="1123"/>
        <w:ind w:left="141"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二）乙方若有违反本合同的，视情节轻重。每次给予工程款的1％至10％的违约罚款；若严重违反本责任书，在1-3年内不得进入扬州市工程建设市场；涉嫌犯罪的，移交司法机关追究刑事责任；给甲方单位造成经济损失的，应予以赔偿。</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第五条 本合同作为工程施工合同的附件，与工程施工合同具有同等法律效力。经双方签署后立即生效。</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第六条 本合同的有效期为双方签署之日起至该工程项目竣工验收合格时止。</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第七条 本合同一式捌份，由甲乙双方各执肆份。</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ascii="宋体" w:hAnsi="宋体" w:cs="宋体"/>
          <w:bCs/>
          <w:color w:val="000000" w:themeColor="text1"/>
          <w:sz w:val="21"/>
          <w:szCs w:val="21"/>
          <w:highlight w:val="none"/>
          <w14:textFill>
            <w14:solidFill>
              <w14:schemeClr w14:val="tx1"/>
            </w14:solidFill>
          </w14:textFill>
        </w:rPr>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ascii="宋体" w:hAnsi="宋体" w:cs="宋体"/>
          <w:bCs/>
          <w:color w:val="000000" w:themeColor="text1"/>
          <w:sz w:val="21"/>
          <w:szCs w:val="21"/>
          <w:highlight w:val="none"/>
          <w14:textFill>
            <w14:solidFill>
              <w14:schemeClr w14:val="tx1"/>
            </w14:solidFill>
          </w14:textFill>
        </w:rPr>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甲方单位：（盖章）                      乙方单位：（盖章）</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法定代表人或委托代理人                  法定代表人或委托代理人：</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地      址：                            地      址：</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电      话：                            电      话：</w:t>
      </w:r>
      <w:r/>
    </w:p>
    <w:p>
      <w:pPr>
        <w:pStyle w:val="1123"/>
        <w:ind w:firstLine="56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年  月  日                              年  月  日</w:t>
      </w:r>
      <w:r/>
    </w:p>
    <w:p>
      <w:pPr>
        <w:pStyle w:val="1096"/>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6"/>
        <w:numPr>
          <w:ilvl w:val="0"/>
          <w:numId w:val="2"/>
        </w:num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Start w:id="566" w:name="_Toc1188"/>
      <w:r>
        <w:rPr>
          <w:rFonts w:hint="eastAsia"/>
          <w:color w:val="000000" w:themeColor="text1"/>
          <w:highlight w:val="none"/>
          <w14:textFill>
            <w14:solidFill>
              <w14:schemeClr w14:val="tx1"/>
            </w14:solidFill>
          </w14:textFill>
        </w:rPr>
        <w:t xml:space="preserve">项目需求</w:t>
      </w:r>
      <w:bookmarkEnd w:id="564"/>
      <w:r/>
      <w:bookmarkEnd w:id="565"/>
      <w:r/>
      <w:bookmarkEnd w:id="566"/>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严格执行政府采购关于支持</w:t>
      </w:r>
      <w:r>
        <w:rPr>
          <w:rFonts w:hint="eastAsia" w:ascii="宋体" w:hAnsi="宋体" w:cs="宋体"/>
          <w:color w:val="000000" w:themeColor="text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注：本章内容里斜体且有下划线部分为实质性要求和条件，投标文件不满足的，视为无效投标处理。请各供应商制作电子投标文件时，将实质性响应的内容在政府采购交易系统</w:t>
      </w:r>
      <w:r>
        <w:rPr>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符合证明文件格式</w:t>
      </w:r>
      <w:r>
        <w:rPr>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中准确填写或上传。</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所属行业：建筑业</w:t>
      </w:r>
      <w:r/>
    </w:p>
    <w:p>
      <w:pPr>
        <w:numPr>
          <w:ilvl w:val="0"/>
          <w:numId w:val="3"/>
        </w:num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工程概况</w:t>
      </w:r>
      <w:r/>
    </w:p>
    <w:p>
      <w:pPr>
        <w:numPr>
          <w:ilvl w:val="0"/>
          <w:numId w:val="4"/>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项目名称：丁泰河沿线环境应急三级防控体系建设项目（市政雨水管网及提升泵）</w:t>
      </w:r>
      <w:r/>
    </w:p>
    <w:p>
      <w:pPr>
        <w:numPr>
          <w:ilvl w:val="0"/>
          <w:numId w:val="4"/>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项目地点：扬州市江都区</w:t>
      </w:r>
      <w:r/>
    </w:p>
    <w:p>
      <w:pPr>
        <w:numPr>
          <w:ilvl w:val="0"/>
          <w:numId w:val="4"/>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项目范围：施工图纸及</w:t>
      </w:r>
      <w:r>
        <w:rPr>
          <w:rFonts w:hint="eastAsia" w:ascii="宋体" w:hAnsi="宋体"/>
          <w:bCs/>
          <w:color w:val="000000" w:themeColor="text1"/>
          <w:szCs w:val="21"/>
          <w:highlight w:val="none"/>
          <w14:textFill>
            <w14:solidFill>
              <w14:schemeClr w14:val="tx1"/>
            </w14:solidFill>
          </w14:textFill>
        </w:rPr>
        <w:t xml:space="preserve">工程量清单内的施工</w:t>
      </w:r>
      <w:r>
        <w:rPr>
          <w:rFonts w:hint="eastAsia" w:ascii="宋体" w:hAnsi="宋体" w:cs="宋体"/>
          <w:color w:val="000000" w:themeColor="text1"/>
          <w:szCs w:val="21"/>
          <w:highlight w:val="none"/>
          <w14:textFill>
            <w14:solidFill>
              <w14:schemeClr w14:val="tx1"/>
            </w14:solidFill>
          </w14:textFill>
        </w:rPr>
        <w:t xml:space="preserve">。</w:t>
      </w:r>
      <w:r/>
    </w:p>
    <w:p>
      <w:pPr>
        <w:numPr>
          <w:ilvl w:val="0"/>
          <w:numId w:val="4"/>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工期：30日历天。</w:t>
      </w:r>
      <w:r/>
    </w:p>
    <w:p>
      <w:pPr>
        <w:numPr>
          <w:ilvl w:val="0"/>
          <w:numId w:val="4"/>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质量要求：合格</w:t>
      </w:r>
      <w:r/>
    </w:p>
    <w:p>
      <w:pPr>
        <w:numPr>
          <w:ilvl w:val="0"/>
          <w:numId w:val="4"/>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最高限价：1821478.61元，报价超过最高限价的为无效报价，按照无效响应处理。</w:t>
      </w:r>
      <w:r/>
    </w:p>
    <w:p>
      <w:pPr>
        <w:ind w:firstLine="422"/>
        <w:spacing w:line="360" w:lineRule="auto"/>
        <w:rPr>
          <w:rFonts w:ascii="宋体" w:hAnsi="宋体" w:cs="仿宋"/>
          <w:b/>
          <w:bCs/>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w:t>
      </w:r>
      <w:r>
        <w:rPr>
          <w:rFonts w:hint="eastAsia" w:ascii="宋体" w:hAnsi="宋体" w:cs="仿宋"/>
          <w:b/>
          <w:bCs/>
          <w:color w:val="000000" w:themeColor="text1"/>
          <w:highlight w:val="none"/>
          <w14:textFill>
            <w14:solidFill>
              <w14:schemeClr w14:val="tx1"/>
            </w14:solidFill>
          </w14:textFill>
        </w:rPr>
        <w:t xml:space="preserve">其它须知：</w:t>
      </w:r>
      <w:r/>
    </w:p>
    <w:p>
      <w:pPr>
        <w:ind w:firstLine="422"/>
        <w:spacing w:line="360" w:lineRule="auto"/>
        <w:rPr>
          <w:rFonts w:ascii="宋体" w:hAnsi="宋体" w:cs="仿宋"/>
          <w:b/>
          <w:i/>
          <w:color w:val="000000" w:themeColor="text1"/>
          <w:highlight w:val="none"/>
          <w:u w:val="single"/>
          <w14:textFill>
            <w14:solidFill>
              <w14:schemeClr w14:val="tx1"/>
            </w14:solidFill>
          </w14:textFill>
        </w:rPr>
      </w:pPr>
      <w:r>
        <w:rPr>
          <w:rFonts w:hint="eastAsia" w:ascii="宋体" w:hAnsi="宋体" w:cs="仿宋"/>
          <w:b/>
          <w:i/>
          <w:color w:val="000000" w:themeColor="text1"/>
          <w:highlight w:val="none"/>
          <w:u w:val="single"/>
          <w14:textFill>
            <w14:solidFill>
              <w14:schemeClr w14:val="tx1"/>
            </w14:solidFill>
          </w14:textFill>
        </w:rPr>
        <w:t xml:space="preserve">1、投标供应商不能修改采购人提供的工程量清单项目名称、计量单位、工程量、项目特征、暂估价、暂列金额等内容，否则按无效标处理。（提供已标价工程量清单）</w:t>
      </w:r>
      <w:r/>
    </w:p>
    <w:p>
      <w:pPr>
        <w:ind w:firstLine="420"/>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2、投标人应踏勘现场，以充分了解项目位置、交通状况以及工作范围等任何足以影响其投标报价的情况。任何忽视或误解项目基本情况，而使采购人在项目实施过程中蒙受的损失，将由投标人进行赔偿。</w:t>
      </w:r>
      <w:r/>
    </w:p>
    <w:p>
      <w:pPr>
        <w:ind w:firstLine="420"/>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3、本项目采用固定单价合同，承包范围为图纸、工程量清单、招标文件相关的内容。投标人应根据附件内容仔细核对工程量清单，核对内容包括清单数量、清单特征、计量单位等，并将疑问在提问截止时间前提出，如未提出任何疑问，则视为对采购人提供的工程量清单不存在问题，设计变更及采购人要求变动的内容按变更处理，详见合同条款。</w:t>
      </w:r>
      <w:r/>
    </w:p>
    <w:p>
      <w:pPr>
        <w:ind w:firstLine="422"/>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4、竞争性磋商报价按综合单价法报价。竞争性磋商报价应包括按招标文件规定完成工程所需的全部费用，包括：①分部分项工程费、项目措施费、其他项目费和规费、税金；②分部分项工程所发生的人工费、材料费、机械费、管理费、利润以及所有风险、责任等各项费用。</w:t>
      </w:r>
      <w:r/>
    </w:p>
    <w:p>
      <w:pPr>
        <w:ind w:firstLine="390"/>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5、中标人必须服从现场管理，对工序和材料及时报验，原材料及配件必须符合国家标准，经复试合格后方可使用。</w:t>
      </w:r>
      <w:r/>
    </w:p>
    <w:p>
      <w:pPr>
        <w:ind w:firstLine="420"/>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6、建设过程中产生的垃圾及时清运，费用由中标人承担；建设工程不能影响其他设施、设备的使用及功能，不能影响采购人正常工作开展。</w:t>
      </w:r>
      <w:r/>
    </w:p>
    <w:p>
      <w:pPr>
        <w:ind w:firstLine="420"/>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7、施工过程中，中标人需采取措施保护现场及周边相关财务、物品、设施等，因中标人的不规范操作、误操作等原因造成相关设施的损坏、设备的停用等后果均由中标人承担，由中标人原样修复并自行承担相关费用。</w:t>
      </w:r>
      <w:r/>
    </w:p>
    <w:p>
      <w:pPr>
        <w:ind w:firstLine="420"/>
        <w:jc w:val="left"/>
        <w:spacing w:line="348"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8、投标人需积极主动地配合采购人进行施工完毕后验收，确保通过验收，若出现验收不合格的情况，投标人需要重新返工直至通过验收合格，由此导致的返工费等相关其他费用，由投标人自行承担，并且采购人有权从工程款中扣除。</w:t>
      </w:r>
      <w:r/>
    </w:p>
    <w:p>
      <w:pPr>
        <w:pStyle w:val="1092"/>
        <w:ind w:firstLine="420"/>
        <w:jc w:val="left"/>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仿宋"/>
          <w:b/>
          <w:bCs/>
          <w:color w:val="000000" w:themeColor="text1"/>
          <w:highlight w:val="none"/>
          <w14:textFill>
            <w14:solidFill>
              <w14:schemeClr w14:val="tx1"/>
            </w14:solidFill>
          </w14:textFill>
        </w:rPr>
        <w:t xml:space="preserve">三、招标工程量清单及图纸（详见附件）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pStyle w:val="1096"/>
        <w:jc w:val="center"/>
        <w:spacing w:line="360" w:lineRule="auto"/>
        <w:rPr>
          <w:rFonts w:ascii="宋体" w:hAnsi="宋体"/>
          <w:color w:val="000000" w:themeColor="text1"/>
          <w:highlight w:val="none"/>
          <w14:textFill>
            <w14:solidFill>
              <w14:schemeClr w14:val="tx1"/>
            </w14:solidFill>
          </w14:textFill>
        </w:rPr>
      </w:pPr>
      <w:r/>
      <w:bookmarkStart w:id="567" w:name="_Toc10645"/>
      <w:r/>
      <w:bookmarkStart w:id="568" w:name="_Toc7772"/>
      <w:r>
        <w:rPr>
          <w:rFonts w:hint="eastAsia" w:ascii="宋体" w:hAnsi="宋体"/>
          <w:color w:val="000000" w:themeColor="text1"/>
          <w:highlight w:val="none"/>
          <w14:textFill>
            <w14:solidFill>
              <w14:schemeClr w14:val="tx1"/>
            </w14:solidFill>
          </w14:textFill>
        </w:rPr>
        <w:br w:type="page" w:clear="all"/>
      </w:r>
      <w:bookmarkStart w:id="569" w:name="_Toc11897"/>
      <w:r>
        <w:rPr>
          <w:rFonts w:hint="eastAsia" w:ascii="宋体" w:hAnsi="宋体"/>
          <w:color w:val="000000" w:themeColor="text1"/>
          <w:highlight w:val="none"/>
          <w14:textFill>
            <w14:solidFill>
              <w14:schemeClr w14:val="tx1"/>
            </w14:solidFill>
          </w14:textFill>
        </w:rPr>
        <w:t xml:space="preserve">第五章 评审方法及评审标准</w:t>
      </w:r>
      <w:bookmarkEnd w:id="1"/>
      <w:r/>
      <w:bookmarkEnd w:id="567"/>
      <w:r/>
      <w:bookmarkEnd w:id="568"/>
      <w:r/>
      <w:bookmarkEnd w:id="569"/>
      <w:r/>
      <w:r/>
    </w:p>
    <w:p>
      <w:pPr>
        <w:ind w:firstLine="422"/>
        <w:jc w:val="left"/>
        <w:spacing w:before="120" w:after="12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一、评审方法</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hAnsi="宋体"/>
          <w:b/>
          <w:color w:val="000000" w:themeColor="text1"/>
          <w:szCs w:val="21"/>
          <w:highlight w:val="none"/>
          <w14:textFill>
            <w14:solidFill>
              <w14:schemeClr w14:val="tx1"/>
            </w14:solidFill>
          </w14:textFill>
        </w:rPr>
      </w:pPr>
      <w:r/>
      <w:bookmarkStart w:id="570" w:name="_Toc449016388"/>
      <w:r/>
      <w:bookmarkStart w:id="571" w:name="_Toc449017024"/>
      <w:r>
        <w:rPr>
          <w:rFonts w:ascii="宋体" w:hAnsi="宋体"/>
          <w:b/>
          <w:color w:val="000000" w:themeColor="text1"/>
          <w:szCs w:val="21"/>
          <w:highlight w:val="none"/>
          <w14:textFill>
            <w14:solidFill>
              <w14:schemeClr w14:val="tx1"/>
            </w14:solidFill>
          </w14:textFill>
        </w:rPr>
        <w:t xml:space="preserve">二、</w:t>
      </w:r>
      <w:r>
        <w:rPr>
          <w:rFonts w:hint="eastAsia" w:ascii="宋体" w:hAnsi="宋体"/>
          <w:b/>
          <w:color w:val="000000" w:themeColor="text1"/>
          <w:szCs w:val="21"/>
          <w:highlight w:val="none"/>
          <w14:textFill>
            <w14:solidFill>
              <w14:schemeClr w14:val="tx1"/>
            </w14:solidFill>
          </w14:textFill>
        </w:rPr>
        <w:t xml:space="preserve">政府采购政策功能落实</w:t>
      </w:r>
      <w:bookmarkEnd w:id="570"/>
      <w:r/>
      <w:bookmarkEnd w:id="571"/>
      <w:r/>
      <w:r/>
    </w:p>
    <w:p>
      <w:pPr>
        <w:ind w:left="315" w:firstLine="105"/>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1、小微型企业价格扣除</w:t>
      </w:r>
      <w:r/>
    </w:p>
    <w:p>
      <w:pPr>
        <w:ind w:firstLine="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（1）本项目对小型和微型企业产品给予</w:t>
      </w:r>
      <w:r>
        <w:rPr>
          <w:rFonts w:hint="eastAsia" w:ascii="宋体" w:hAnsi="宋体"/>
          <w:color w:val="000000" w:themeColor="text1"/>
          <w:szCs w:val="21"/>
          <w:highlight w:val="none"/>
          <w14:textFill>
            <w14:solidFill>
              <w14:schemeClr w14:val="tx1"/>
            </w14:solidFill>
          </w14:textFill>
        </w:rPr>
        <w:t xml:space="preserve">20%</w:t>
      </w:r>
      <w:r>
        <w:rPr>
          <w:rFonts w:ascii="宋体" w:hAnsi="宋体"/>
          <w:color w:val="000000" w:themeColor="text1"/>
          <w:szCs w:val="21"/>
          <w:highlight w:val="none"/>
          <w14:textFill>
            <w14:solidFill>
              <w14:schemeClr w14:val="tx1"/>
            </w14:solidFill>
          </w14:textFill>
        </w:rPr>
        <w:t xml:space="preserve">的扣除价格，用扣除后的价格参与评审。</w:t>
      </w:r>
      <w:r/>
    </w:p>
    <w:p>
      <w:pPr>
        <w:ind w:firstLine="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（2）供应商需按照采购文件的要求提供相应的《企业声明函》。</w:t>
      </w:r>
      <w:r/>
    </w:p>
    <w:p>
      <w:pPr>
        <w:ind w:left="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2、残疾人福利单位价格扣除</w:t>
      </w:r>
      <w:r/>
    </w:p>
    <w:p>
      <w:pPr>
        <w:ind w:left="315" w:firstLine="105"/>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（1）本项目对残疾人福利性单位视同小型、微型企业，给予</w:t>
      </w:r>
      <w:r>
        <w:rPr>
          <w:rFonts w:hint="eastAsia" w:ascii="宋体" w:hAnsi="宋体"/>
          <w:color w:val="000000" w:themeColor="text1"/>
          <w:szCs w:val="21"/>
          <w:highlight w:val="none"/>
          <w14:textFill>
            <w14:solidFill>
              <w14:schemeClr w14:val="tx1"/>
            </w14:solidFill>
          </w14:textFill>
        </w:rPr>
        <w:t xml:space="preserve">20%</w:t>
      </w:r>
      <w:r>
        <w:rPr>
          <w:rFonts w:ascii="宋体" w:hAnsi="宋体"/>
          <w:color w:val="000000" w:themeColor="text1"/>
          <w:szCs w:val="21"/>
          <w:highlight w:val="none"/>
          <w14:textFill>
            <w14:solidFill>
              <w14:schemeClr w14:val="tx1"/>
            </w14:solidFill>
          </w14:textFill>
        </w:rPr>
        <w:t xml:space="preserve">的价格扣除，用扣除</w:t>
      </w:r>
      <w:r/>
    </w:p>
    <w:p>
      <w:pPr>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后的价格参与评审。</w:t>
      </w:r>
      <w:r/>
    </w:p>
    <w:p>
      <w:pPr>
        <w:ind w:left="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left="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（3）残疾人福利单位标准请参照《关于促进残疾人就业政府采购政策的通知》（财库</w:t>
      </w:r>
      <w:r/>
    </w:p>
    <w:p>
      <w:pPr>
        <w:ind w:left="420" w:hanging="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〔2017〕141号）。</w:t>
      </w:r>
      <w:r/>
    </w:p>
    <w:p>
      <w:pPr>
        <w:ind w:left="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3、监狱和戒毒企业价格扣除</w:t>
      </w:r>
      <w:r/>
    </w:p>
    <w:p>
      <w:pPr>
        <w:ind w:left="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（1）本项目对监狱和戒毒企业（简称监狱企业）视同小型、微型企业，给予</w:t>
      </w:r>
      <w:r>
        <w:rPr>
          <w:rFonts w:hint="eastAsia" w:ascii="宋体" w:hAnsi="宋体"/>
          <w:color w:val="000000" w:themeColor="text1"/>
          <w:szCs w:val="21"/>
          <w:highlight w:val="none"/>
          <w14:textFill>
            <w14:solidFill>
              <w14:schemeClr w14:val="tx1"/>
            </w14:solidFill>
          </w14:textFill>
        </w:rPr>
        <w:t xml:space="preserve">20%</w:t>
      </w:r>
      <w:r>
        <w:rPr>
          <w:rFonts w:ascii="宋体" w:hAnsi="宋体"/>
          <w:color w:val="000000" w:themeColor="text1"/>
          <w:szCs w:val="21"/>
          <w:highlight w:val="none"/>
          <w14:textFill>
            <w14:solidFill>
              <w14:schemeClr w14:val="tx1"/>
            </w14:solidFill>
          </w14:textFill>
        </w:rPr>
        <w:t xml:space="preserve">的价</w:t>
      </w:r>
      <w:r/>
    </w:p>
    <w:p>
      <w:pPr>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格扣除，用扣除后的价格参与评审。</w:t>
      </w:r>
      <w:r/>
    </w:p>
    <w:p>
      <w:pPr>
        <w:ind w:firstLine="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（3）监狱企业标准请参照《关于政府采购支持监狱企业发展有关问题的通知》（财库[2014]68号）。</w:t>
      </w:r>
      <w:r/>
    </w:p>
    <w:p>
      <w:pPr>
        <w:ind w:firstLine="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5、大中型企业和其他自然人、法人或者其他组织并与小型、微型企业（残疾人福利单</w:t>
      </w:r>
      <w:r/>
    </w:p>
    <w:p>
      <w:pPr>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themeColor="text1"/>
          <w:szCs w:val="21"/>
          <w:highlight w:val="none"/>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%的价格扣除，用扣除后的价格参与评审。 </w:t>
      </w:r>
      <w:r/>
    </w:p>
    <w:p>
      <w:pPr>
        <w:ind w:firstLine="420"/>
        <w:jc w:val="left"/>
        <w:spacing w:before="120"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Cs w:val="21"/>
          <w:highlight w:val="none"/>
          <w14:textFill>
            <w14:solidFill>
              <w14:schemeClr w14:val="tx1"/>
            </w14:solidFill>
          </w14:textFill>
        </w:rPr>
        <w:t xml:space="preserve">20%</w:t>
      </w:r>
      <w:r>
        <w:rPr>
          <w:rFonts w:ascii="宋体" w:hAnsi="宋体"/>
          <w:color w:val="000000" w:themeColor="text1"/>
          <w:szCs w:val="21"/>
          <w:highlight w:val="none"/>
          <w14:textFill>
            <w14:solidFill>
              <w14:schemeClr w14:val="tx1"/>
            </w14:solidFill>
          </w14:textFill>
        </w:rPr>
        <w:t xml:space="preserve">价格扣除，用扣除后的价格参与评审。</w:t>
      </w:r>
      <w:r>
        <w:rPr>
          <w:rFonts w:hint="eastAsia" w:ascii="宋体" w:hAnsi="宋体"/>
          <w:color w:val="000000" w:themeColor="text1"/>
          <w:szCs w:val="21"/>
          <w:highlight w:val="none"/>
          <w14:textFill>
            <w14:solidFill>
              <w14:schemeClr w14:val="tx1"/>
            </w14:solidFill>
          </w14:textFill>
        </w:rPr>
        <w:t xml:space="preserve">大中型企业向小型、微型企业分包的，分包意向协议约定小型、微型企业合同份额占到合同总金额30%以上的，给予6%的价格扣除，用扣除后的价格参与评审。</w:t>
      </w:r>
      <w:r/>
    </w:p>
    <w:p>
      <w:pPr>
        <w:ind w:firstLine="480"/>
        <w:jc w:val="left"/>
        <w:spacing w:before="120" w:after="120" w:line="360" w:lineRule="auto"/>
        <w:rPr>
          <w:rFonts w:ascii="宋体" w:hAnsi="宋体"/>
          <w:color w:val="000000" w:themeColor="text1"/>
          <w:szCs w:val="21"/>
          <w:highlight w:val="none"/>
          <w14:textFill>
            <w14:solidFill>
              <w14:schemeClr w14:val="tx1"/>
            </w14:solidFill>
          </w14:textFill>
        </w:rPr>
      </w:pPr>
      <w:r>
        <w:rPr>
          <w:rFonts w:hint="eastAsia" w:ascii="宋体" w:hAnsi="宋体"/>
          <w:b/>
          <w:bCs/>
          <w:i/>
          <w:iCs/>
          <w:color w:val="000000" w:themeColor="text1"/>
          <w:sz w:val="32"/>
          <w:szCs w:val="32"/>
          <w:highlight w:val="none"/>
          <w:u w:val="single"/>
          <w14:textFill>
            <w14:solidFill>
              <w14:schemeClr w14:val="tx1"/>
            </w14:solidFill>
          </w14:textFill>
        </w:rPr>
        <w:t xml:space="preserve">本项目专门面向中小企业采购故价格部分不进行价格扣除。</w:t>
      </w:r>
      <w:r/>
    </w:p>
    <w:p>
      <w:pPr>
        <w:pStyle w:val="1108"/>
        <w:ind w:firstLine="422"/>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br w:type="page" w:clear="all"/>
      </w:r>
      <w:r>
        <w:rPr>
          <w:rFonts w:hint="eastAsia" w:ascii="宋体" w:hAnsi="宋体"/>
          <w:b/>
          <w:color w:val="000000" w:themeColor="text1"/>
          <w:sz w:val="21"/>
          <w:szCs w:val="21"/>
          <w:highlight w:val="none"/>
          <w14:textFill>
            <w14:solidFill>
              <w14:schemeClr w14:val="tx1"/>
            </w14:solidFill>
          </w14:textFill>
        </w:rPr>
        <w:t xml:space="preserve">三、评审标准</w:t>
      </w:r>
      <w:r/>
    </w:p>
    <w:tbl>
      <w:tblPr>
        <w:tblStyle w:val="918"/>
        <w:tblpPr w:horzAnchor="margin" w:tblpXSpec="left" w:vertAnchor="text" w:tblpY="526" w:leftFromText="180" w:topFromText="0" w:rightFromText="180" w:bottomFromText="0"/>
        <w:tblW w:w="8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1068"/>
        <w:gridCol w:w="5448"/>
        <w:gridCol w:w="908"/>
      </w:tblGrid>
      <w:tr>
        <w:trPr>
          <w:trHeight w:val="762"/>
        </w:trPr>
        <w:tc>
          <w:tcPr>
            <w:tcW w:w="1438" w:type="dxa"/>
            <w:vAlign w:val="center"/>
            <w:textDirection w:val="lrTb"/>
            <w:noWrap w:val="false"/>
          </w:tcPr>
          <w:p>
            <w:pPr>
              <w:ind w:firstLine="203"/>
              <w:spacing w:line="360" w:lineRule="auto"/>
              <w:rPr>
                <w:rFonts w:ascii="宋体" w:hAnsi="宋体" w:cs="仿宋"/>
                <w:b/>
                <w:bCs/>
                <w:color w:val="000000" w:themeColor="text1"/>
                <w:spacing w:val="-4"/>
                <w:highlight w:val="none"/>
                <w14:textFill>
                  <w14:solidFill>
                    <w14:schemeClr w14:val="tx1"/>
                  </w14:solidFill>
                </w14:textFill>
              </w:rPr>
            </w:pPr>
            <w:r>
              <w:rPr>
                <w:rFonts w:hint="eastAsia" w:ascii="宋体" w:hAnsi="宋体" w:cs="仿宋"/>
                <w:b/>
                <w:bCs/>
                <w:color w:val="000000" w:themeColor="text1"/>
                <w:spacing w:val="-4"/>
                <w:highlight w:val="none"/>
                <w14:textFill>
                  <w14:solidFill>
                    <w14:schemeClr w14:val="tx1"/>
                  </w14:solidFill>
                </w14:textFill>
              </w:rPr>
              <w:t xml:space="preserve">项 目</w:t>
            </w:r>
            <w:r/>
          </w:p>
        </w:tc>
        <w:tc>
          <w:tcPr>
            <w:gridSpan w:val="2"/>
            <w:tcW w:w="6516" w:type="dxa"/>
            <w:vAlign w:val="center"/>
            <w:textDirection w:val="lrTb"/>
            <w:noWrap w:val="false"/>
          </w:tcPr>
          <w:p>
            <w:pPr>
              <w:ind w:firstLine="406"/>
              <w:jc w:val="center"/>
              <w:spacing w:line="360" w:lineRule="auto"/>
              <w:rPr>
                <w:rFonts w:ascii="宋体" w:hAnsi="宋体" w:cs="仿宋"/>
                <w:b/>
                <w:bCs/>
                <w:color w:val="000000" w:themeColor="text1"/>
                <w:spacing w:val="-4"/>
                <w:highlight w:val="none"/>
                <w14:textFill>
                  <w14:solidFill>
                    <w14:schemeClr w14:val="tx1"/>
                  </w14:solidFill>
                </w14:textFill>
              </w:rPr>
            </w:pPr>
            <w:r>
              <w:rPr>
                <w:rFonts w:hint="eastAsia" w:ascii="宋体" w:hAnsi="宋体" w:cs="仿宋"/>
                <w:b/>
                <w:bCs/>
                <w:color w:val="000000" w:themeColor="text1"/>
                <w:spacing w:val="-4"/>
                <w:highlight w:val="none"/>
                <w14:textFill>
                  <w14:solidFill>
                    <w14:schemeClr w14:val="tx1"/>
                  </w14:solidFill>
                </w14:textFill>
              </w:rPr>
              <w:t xml:space="preserve">评 分 细 则</w:t>
            </w:r>
            <w:r/>
          </w:p>
        </w:tc>
        <w:tc>
          <w:tcPr>
            <w:tcW w:w="908" w:type="dxa"/>
            <w:vAlign w:val="center"/>
            <w:textDirection w:val="lrTb"/>
            <w:noWrap w:val="false"/>
          </w:tcPr>
          <w:p>
            <w:pPr>
              <w:spacing w:line="360" w:lineRule="auto"/>
              <w:rPr>
                <w:rFonts w:ascii="宋体" w:hAnsi="宋体" w:cs="仿宋"/>
                <w:b/>
                <w:bCs/>
                <w:color w:val="000000" w:themeColor="text1"/>
                <w:spacing w:val="-4"/>
                <w:highlight w:val="none"/>
                <w14:textFill>
                  <w14:solidFill>
                    <w14:schemeClr w14:val="tx1"/>
                  </w14:solidFill>
                </w14:textFill>
              </w:rPr>
            </w:pPr>
            <w:r>
              <w:rPr>
                <w:rFonts w:hint="eastAsia" w:ascii="宋体" w:hAnsi="宋体" w:cs="仿宋"/>
                <w:b/>
                <w:bCs/>
                <w:color w:val="000000" w:themeColor="text1"/>
                <w:spacing w:val="-4"/>
                <w:highlight w:val="none"/>
                <w14:textFill>
                  <w14:solidFill>
                    <w14:schemeClr w14:val="tx1"/>
                  </w14:solidFill>
                </w14:textFill>
              </w:rPr>
              <w:t xml:space="preserve">分值</w:t>
            </w:r>
            <w:r/>
          </w:p>
        </w:tc>
      </w:tr>
      <w:tr>
        <w:trPr/>
        <w:tc>
          <w:tcPr>
            <w:tcW w:w="143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价格分</w:t>
            </w:r>
            <w:r/>
          </w:p>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（60分）</w:t>
            </w:r>
            <w:r/>
          </w:p>
        </w:tc>
        <w:tc>
          <w:tcPr>
            <w:tcW w:w="106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投标报价</w:t>
            </w:r>
            <w:r/>
          </w:p>
        </w:tc>
        <w:tc>
          <w:tcPr>
            <w:tcW w:w="5448" w:type="dxa"/>
            <w:vAlign w:val="center"/>
            <w:textDirection w:val="lrTb"/>
            <w:noWrap w:val="false"/>
          </w:tcPr>
          <w:p>
            <w:p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满足磋商文件要求且最后报价最低的供应商的价格为磋商基准价，其价格分为满分。其他供应商的价格分统一按照下列公式计算：磋商报价得分=（磋商基准价/最后磋商报价）×</w:t>
            </w:r>
            <w:r>
              <w:rPr>
                <w:rFonts w:hint="eastAsia" w:ascii="宋体" w:hAnsi="宋体" w:cs="仿宋"/>
                <w:color w:val="000000" w:themeColor="text1"/>
                <w:spacing w:val="-4"/>
                <w:highlight w:val="none"/>
                <w:lang w:val="en-US" w:eastAsia="zh-CN"/>
                <w14:textFill>
                  <w14:solidFill>
                    <w14:schemeClr w14:val="tx1"/>
                  </w14:solidFill>
                </w14:textFill>
              </w:rPr>
              <w:t xml:space="preserve">6</w:t>
            </w:r>
            <w:r>
              <w:rPr>
                <w:rFonts w:hint="eastAsia" w:ascii="宋体" w:hAnsi="宋体" w:cs="仿宋"/>
                <w:color w:val="000000" w:themeColor="text1"/>
                <w:spacing w:val="-4"/>
                <w:highlight w:val="none"/>
                <w14:textFill>
                  <w14:solidFill>
                    <w14:schemeClr w14:val="tx1"/>
                  </w14:solidFill>
                </w14:textFill>
              </w:rPr>
              <w:t xml:space="preserve">0（四舍五入，保留两位小数）</w:t>
            </w:r>
            <w:r/>
          </w:p>
        </w:tc>
        <w:tc>
          <w:tcPr>
            <w:tcW w:w="90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60分</w:t>
            </w:r>
            <w:r/>
          </w:p>
        </w:tc>
      </w:tr>
      <w:tr>
        <w:trPr>
          <w:trHeight w:val="448"/>
        </w:trPr>
        <w:tc>
          <w:tcPr>
            <w:tcW w:w="1438" w:type="dxa"/>
            <w:vAlign w:val="center"/>
            <w:vMerge w:val="restart"/>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技术分</w:t>
            </w:r>
            <w:r/>
          </w:p>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（20分）</w:t>
            </w:r>
            <w:r/>
          </w:p>
        </w:tc>
        <w:tc>
          <w:tcPr>
            <w:tcW w:w="1068" w:type="dxa"/>
            <w:vAlign w:val="center"/>
            <w:vMerge w:val="restart"/>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施工组织设计</w:t>
            </w:r>
            <w:r/>
          </w:p>
        </w:tc>
        <w:tc>
          <w:tcPr>
            <w:tcW w:w="5448" w:type="dxa"/>
            <w:vAlign w:val="center"/>
            <w:textDirection w:val="lrTb"/>
            <w:noWrap w:val="false"/>
          </w:tcPr>
          <w:p>
            <w:pPr>
              <w:jc w:val="left"/>
              <w:spacing w:line="360" w:lineRule="auto"/>
              <w:tabs>
                <w:tab w:val="left" w:pos="2445" w:leader="none"/>
              </w:tabs>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1、总体部署：</w:t>
            </w:r>
            <w:r>
              <w:rPr>
                <w:rFonts w:hint="eastAsia" w:ascii="宋体" w:hAnsi="宋体" w:cs="宋体"/>
                <w:color w:val="000000" w:themeColor="text1"/>
                <w:szCs w:val="21"/>
                <w:highlight w:val="none"/>
                <w14:textFill>
                  <w14:solidFill>
                    <w14:schemeClr w14:val="tx1"/>
                  </w14:solidFill>
                </w14:textFill>
              </w:rPr>
              <w:t xml:space="preserve">对工程的总体设想、组织形式、各项管理目标、控制措施以及施工的协调措施等内容进行评分，</w:t>
            </w:r>
            <w:r>
              <w:rPr>
                <w:rFonts w:hint="eastAsia" w:ascii="宋体" w:hAnsi="宋体" w:cs="仿宋"/>
                <w:color w:val="000000" w:themeColor="text1"/>
                <w:spacing w:val="-4"/>
                <w:highlight w:val="none"/>
                <w14:textFill>
                  <w14:solidFill>
                    <w14:schemeClr w14:val="tx1"/>
                  </w14:solidFill>
                </w14:textFill>
              </w:rPr>
              <w:t xml:space="preserve">方案科学合理，可操作性强的得5分；方案较合理，可操作性较强的得3分；方案基本合理，可操作性一般的得1分；未提供不得分。</w:t>
            </w:r>
            <w:r/>
          </w:p>
        </w:tc>
        <w:tc>
          <w:tcPr>
            <w:tcW w:w="908" w:type="dxa"/>
            <w:vAlign w:val="center"/>
            <w:vMerge w:val="restart"/>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20分</w:t>
            </w:r>
            <w:r/>
          </w:p>
        </w:tc>
      </w:tr>
      <w:tr>
        <w:trPr>
          <w:trHeight w:val="1933"/>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2、结合本工程特点的针对性措施：</w:t>
            </w:r>
            <w:r>
              <w:rPr>
                <w:rFonts w:hint="eastAsia" w:ascii="宋体" w:hAnsi="宋体" w:cs="宋体"/>
                <w:color w:val="000000" w:themeColor="text1"/>
                <w:szCs w:val="21"/>
                <w:highlight w:val="none"/>
                <w14:textFill>
                  <w14:solidFill>
                    <w14:schemeClr w14:val="tx1"/>
                  </w14:solidFill>
                </w14:textFill>
              </w:rPr>
              <w:t xml:space="preserve">根据行业经验及结合本工程关键施工技术、工艺及工程项目实施的重点、难点提出解决方案。</w:t>
            </w:r>
            <w:r>
              <w:rPr>
                <w:rFonts w:hint="eastAsia" w:ascii="宋体" w:hAnsi="宋体" w:cs="仿宋"/>
                <w:color w:val="000000" w:themeColor="text1"/>
                <w:spacing w:val="-4"/>
                <w:highlight w:val="none"/>
                <w14:textFill>
                  <w14:solidFill>
                    <w14:schemeClr w14:val="tx1"/>
                  </w14:solidFill>
                </w14:textFill>
              </w:rPr>
              <w:t xml:space="preserve">措施科学合理，可操作性强的得5分；措施较合理，可操作性较强的得3分；措施基本合理，可操作性一般的得1分；未提供不得分。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1685"/>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3、主要施工方法：方案科学合理，可操作性强的得5分；方案较合理，可操作性较强的得3分；方案基本合理，可操作性一般的得1分；未提供不得分。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513"/>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4、施工进度计划及工期保证措施：</w:t>
            </w:r>
            <w:r>
              <w:rPr>
                <w:rFonts w:hint="eastAsia" w:ascii="宋体" w:hAnsi="宋体" w:cs="宋体"/>
                <w:color w:val="000000" w:themeColor="text1"/>
                <w:szCs w:val="21"/>
                <w:highlight w:val="none"/>
                <w14:textFill>
                  <w14:solidFill>
                    <w14:schemeClr w14:val="tx1"/>
                  </w14:solidFill>
                </w14:textFill>
              </w:rPr>
              <w:t xml:space="preserve">工作人员计划安排合理，组织管理体系健全，有效保证工程的进度要求。</w:t>
            </w:r>
            <w:r>
              <w:rPr>
                <w:rFonts w:hint="eastAsia" w:ascii="宋体" w:hAnsi="宋体" w:cs="仿宋"/>
                <w:color w:val="000000" w:themeColor="text1"/>
                <w:spacing w:val="-4"/>
                <w:highlight w:val="none"/>
                <w14:textFill>
                  <w14:solidFill>
                    <w14:schemeClr w14:val="tx1"/>
                  </w14:solidFill>
                </w14:textFill>
              </w:rPr>
              <w:t xml:space="preserve">措施科学合理，可操作性强的得5分；措施较合理，可操作性较强的得3分；措施基本合理，可操作性一般的得1分；未提供不得分。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1321"/>
        </w:trPr>
        <w:tc>
          <w:tcPr>
            <w:tcW w:w="1438" w:type="dxa"/>
            <w:vAlign w:val="center"/>
            <w:vMerge w:val="restart"/>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商务分</w:t>
            </w:r>
            <w:r/>
          </w:p>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（20分）</w:t>
            </w:r>
            <w:r/>
          </w:p>
        </w:tc>
        <w:tc>
          <w:tcPr>
            <w:tcW w:w="1068" w:type="dxa"/>
            <w:vAlign w:val="center"/>
            <w:textDirection w:val="lrTb"/>
            <w:noWrap w:val="false"/>
          </w:tcPr>
          <w:p>
            <w:pPr>
              <w:ind w:firstLine="101"/>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业绩</w:t>
            </w:r>
            <w:r/>
          </w:p>
        </w:tc>
        <w:tc>
          <w:tcPr>
            <w:tcW w:w="5448" w:type="dxa"/>
            <w:textDirection w:val="lrTb"/>
            <w:noWrap w:val="false"/>
          </w:tcPr>
          <w:p>
            <w:p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2023年4月以来，投标人承担过类似工程业绩的有1个得3分，最高得9分。</w:t>
            </w:r>
            <w:r/>
          </w:p>
          <w:p>
            <w:p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业绩时间以合同签订时间为准，提供提供中标通知书（或成交通知书）、施工合同、竣工验收证明原件扫描上传</w:t>
            </w:r>
            <w:r>
              <w:rPr>
                <w:rFonts w:hint="eastAsia" w:ascii="宋体" w:hAnsi="宋体" w:cs="仿宋"/>
                <w:color w:val="000000" w:themeColor="text1"/>
                <w:highlight w:val="none"/>
                <w14:textFill>
                  <w14:solidFill>
                    <w14:schemeClr w14:val="tx1"/>
                  </w14:solidFill>
                </w14:textFill>
              </w:rPr>
              <w:t xml:space="preserve">）</w:t>
            </w:r>
            <w:r/>
          </w:p>
        </w:tc>
        <w:tc>
          <w:tcPr>
            <w:tcW w:w="90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9分</w:t>
            </w:r>
            <w:r/>
          </w:p>
        </w:tc>
      </w:tr>
      <w:tr>
        <w:trPr>
          <w:trHeight w:val="842"/>
        </w:trPr>
        <w:tc>
          <w:tcPr>
            <w:tcW w:w="1438" w:type="dxa"/>
            <w:vMerge w:val="continue"/>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体系认证</w:t>
            </w:r>
            <w:r/>
          </w:p>
        </w:tc>
        <w:tc>
          <w:tcPr>
            <w:tcW w:w="5448" w:type="dxa"/>
            <w:textDirection w:val="lrTb"/>
            <w:noWrap w:val="false"/>
          </w:tcPr>
          <w:p>
            <w:pPr>
              <w:spacing w:line="360" w:lineRule="auto"/>
              <w:rPr>
                <w:rFonts w:ascii="宋体" w:hAnsi="宋体" w:cs="仿宋"/>
                <w:b/>
                <w:bCs/>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投标人具有有效期内的质量管理体系认证、环境管理体系认证、职业健康安全管理体系认证证书的，每项得1分，最高得3分。（提供证书</w:t>
            </w:r>
            <w:r>
              <w:rPr>
                <w:rFonts w:hint="eastAsia" w:ascii="宋体" w:hAnsi="宋体" w:cs="仿宋"/>
                <w:color w:val="000000" w:themeColor="text1"/>
                <w:highlight w:val="none"/>
                <w:lang w:val="zh-CN"/>
                <w14:textFill>
                  <w14:solidFill>
                    <w14:schemeClr w14:val="tx1"/>
                  </w14:solidFill>
                </w14:textFill>
              </w:rPr>
              <w:t xml:space="preserve">原件扫描上传</w:t>
            </w:r>
            <w:r>
              <w:rPr>
                <w:rFonts w:hint="eastAsia" w:ascii="宋体" w:hAnsi="宋体" w:cs="仿宋"/>
                <w:color w:val="000000" w:themeColor="text1"/>
                <w:highlight w:val="none"/>
                <w14:textFill>
                  <w14:solidFill>
                    <w14:schemeClr w14:val="tx1"/>
                  </w14:solidFill>
                </w14:textFill>
              </w:rPr>
              <w:t xml:space="preserve">）</w:t>
            </w:r>
            <w:r>
              <w:rPr>
                <w:rFonts w:hint="eastAsia" w:ascii="宋体" w:hAnsi="宋体" w:cs="仿宋"/>
                <w:b/>
                <w:bCs/>
                <w:color w:val="000000" w:themeColor="text1"/>
                <w:highlight w:val="none"/>
                <w14:textFill>
                  <w14:solidFill>
                    <w14:schemeClr w14:val="tx1"/>
                  </w14:solidFill>
                </w14:textFill>
              </w:rPr>
              <w:t xml:space="preserve">（以上证书均需提供证书原件扫描上传及全国认证认可信息公共服务平台查询截图上传，提供不全或未提供不得分）</w:t>
            </w:r>
            <w:r/>
          </w:p>
          <w:p>
            <w:p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b/>
                <w:bCs/>
                <w:color w:val="000000" w:themeColor="text1"/>
                <w:highlight w:val="none"/>
                <w14:textFill>
                  <w14:solidFill>
                    <w14:schemeClr w14:val="tx1"/>
                  </w14:solidFill>
                </w14:textFill>
              </w:rPr>
              <w:t xml:space="preserve">（全国认证认可信息公共服务平台网址：http：//cx.cnca.cn/CertECloud/result/skipResultList?certItemOne=A&amp;currentPosition=undefined，要求证书查询结果为有效。）</w:t>
            </w:r>
            <w:r/>
          </w:p>
        </w:tc>
        <w:tc>
          <w:tcPr>
            <w:tcW w:w="90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3分</w:t>
            </w:r>
            <w:r/>
          </w:p>
        </w:tc>
      </w:tr>
      <w:tr>
        <w:trPr>
          <w:trHeight w:val="972"/>
        </w:trPr>
        <w:tc>
          <w:tcPr>
            <w:tcW w:w="1438" w:type="dxa"/>
            <w:vMerge w:val="continue"/>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项目管理机构</w:t>
            </w:r>
            <w:r/>
          </w:p>
        </w:tc>
        <w:tc>
          <w:tcPr>
            <w:tcW w:w="5448" w:type="dxa"/>
            <w:textDirection w:val="lrTb"/>
            <w:noWrap w:val="false"/>
          </w:tcPr>
          <w:p>
            <w:p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1、项目技术负责人具备高级及以上工程师职称的得3分；具备工程师职称的得1分。（提供职称证书、投标人为其缴纳的近一个月社保证明原件扫描上传。）</w:t>
            </w:r>
            <w:r/>
          </w:p>
          <w:p>
            <w:pPr>
              <w:numPr>
                <w:ilvl w:val="0"/>
                <w:numId w:val="5"/>
              </w:num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项目组成员具备施工员、质量员、材料员、安全员、资料员，证书齐全的得3分，不齐全不得分。（提供职称证书、投标人为其缴纳的近三个月任意一个月社保证明原件扫描上传。）</w:t>
            </w:r>
            <w:r/>
          </w:p>
          <w:p>
            <w:pPr>
              <w:numPr>
                <w:ilvl w:val="0"/>
                <w:numId w:val="5"/>
              </w:num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项目组成员中具有注册安全工程师的得2分。（提供证书、投标人为其缴纳的</w:t>
            </w:r>
            <w:r>
              <w:rPr>
                <w:rFonts w:hint="eastAsia" w:ascii="宋体" w:hAnsi="宋体" w:cs="仿宋"/>
                <w:color w:val="000000" w:themeColor="text1"/>
                <w:highlight w:val="none"/>
                <w:lang w:val="en-US" w:eastAsia="zh-CN"/>
                <w14:textFill>
                  <w14:solidFill>
                    <w14:schemeClr w14:val="tx1"/>
                  </w14:solidFill>
                </w14:textFill>
              </w:rPr>
              <w:t xml:space="preserve">三个月任意</w:t>
            </w:r>
            <w:r>
              <w:rPr>
                <w:rFonts w:hint="eastAsia" w:ascii="宋体" w:hAnsi="宋体" w:cs="仿宋"/>
                <w:color w:val="000000" w:themeColor="text1"/>
                <w:highlight w:val="none"/>
                <w14:textFill>
                  <w14:solidFill>
                    <w14:schemeClr w14:val="tx1"/>
                  </w14:solidFill>
                </w14:textFill>
              </w:rPr>
              <w:t xml:space="preserve">一个月社保证明原件扫描上传。）</w:t>
            </w:r>
            <w:r/>
          </w:p>
        </w:tc>
        <w:tc>
          <w:tcPr>
            <w:tcW w:w="90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8分</w:t>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6"/>
        </w:num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评标采用综合评分法。所有评分项由评委独立评审，最终以评委打分汇总的平均值为投标单位得分。评标过程中所有小数均保留两位。</w:t>
      </w:r>
      <w:r/>
    </w:p>
    <w:p>
      <w:pPr>
        <w:pStyle w:val="1092"/>
        <w:numPr>
          <w:ilvl w:val="0"/>
          <w:numId w:val="6"/>
        </w:numPr>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以上参与评分的相关证书、合同等证明材料原件扫描件未提供不得分。</w:t>
      </w:r>
      <w:r/>
    </w:p>
    <w:p>
      <w:pPr>
        <w:pStyle w:val="1096"/>
        <w:jc w:val="center"/>
        <w:spacing w:line="360" w:lineRule="auto"/>
        <w:rPr>
          <w:rFonts w:ascii="宋体" w:hAnsi="宋体"/>
          <w:color w:val="000000" w:themeColor="text1"/>
          <w:sz w:val="36"/>
          <w:highlight w:val="none"/>
          <w14:textFill>
            <w14:solidFill>
              <w14:schemeClr w14:val="tx1"/>
            </w14:solidFill>
          </w14:textFill>
        </w:rPr>
      </w:pPr>
      <w:r/>
      <w:bookmarkStart w:id="595" w:name="_GoBack"/>
      <w:r/>
      <w:bookmarkEnd w:id="595"/>
      <w:r>
        <w:rPr>
          <w:rFonts w:ascii="宋体" w:hAnsi="宋体"/>
          <w:color w:val="000000" w:themeColor="text1"/>
          <w:sz w:val="36"/>
          <w:highlight w:val="none"/>
          <w14:textFill>
            <w14:solidFill>
              <w14:schemeClr w14:val="tx1"/>
            </w14:solidFill>
          </w14:textFill>
        </w:rPr>
        <w:br w:type="page" w:clear="all"/>
      </w:r>
      <w:r/>
    </w:p>
    <w:p>
      <w:pPr>
        <w:pStyle w:val="1096"/>
        <w:jc w:val="center"/>
        <w:spacing w:line="360" w:lineRule="auto"/>
        <w:rPr>
          <w:rFonts w:ascii="宋体" w:hAnsi="宋体"/>
          <w:color w:val="000000" w:themeColor="text1"/>
          <w:sz w:val="52"/>
          <w:highlight w:val="none"/>
          <w14:textFill>
            <w14:solidFill>
              <w14:schemeClr w14:val="tx1"/>
            </w14:solidFill>
          </w14:textFill>
        </w:rPr>
      </w:pPr>
      <w:r/>
      <w:bookmarkStart w:id="572" w:name="_Toc8140"/>
      <w:r/>
      <w:bookmarkStart w:id="573" w:name="_Toc11906"/>
      <w:r/>
      <w:bookmarkStart w:id="574" w:name="_Toc7178"/>
      <w:r>
        <w:rPr>
          <w:rFonts w:hint="eastAsia" w:ascii="宋体" w:hAnsi="宋体"/>
          <w:color w:val="000000" w:themeColor="text1"/>
          <w:highlight w:val="none"/>
          <w14:textFill>
            <w14:solidFill>
              <w14:schemeClr w14:val="tx1"/>
            </w14:solidFill>
          </w14:textFill>
        </w:rPr>
        <w:t xml:space="preserve">第六章 竞争性磋商响应文件格式</w:t>
      </w:r>
      <w:bookmarkEnd w:id="2"/>
      <w:r/>
      <w:bookmarkEnd w:id="572"/>
      <w:r/>
      <w:bookmarkEnd w:id="573"/>
      <w:r/>
      <w:bookmarkEnd w:id="574"/>
      <w:r/>
      <w:r/>
    </w:p>
    <w:p>
      <w:pPr>
        <w:jc w:val="center"/>
        <w:spacing w:line="360" w:lineRule="auto"/>
        <w:rPr>
          <w:rFonts w:ascii="宋体" w:hAnsi="宋体"/>
          <w:b/>
          <w:color w:val="000000" w:themeColor="text1"/>
          <w:sz w:val="22"/>
          <w:highlight w:val="none"/>
          <w14:textFill>
            <w14:solidFill>
              <w14:schemeClr w14:val="tx1"/>
            </w14:solidFill>
          </w14:textFill>
        </w:rPr>
      </w:pPr>
      <w:r>
        <w:rPr>
          <w:rFonts w:ascii="宋体" w:hAnsi="宋体"/>
          <w:b/>
          <w:color w:val="000000" w:themeColor="text1"/>
          <w:sz w:val="22"/>
          <w:highlight w:val="none"/>
          <w14:textFill>
            <w14:solidFill>
              <w14:schemeClr w14:val="tx1"/>
            </w14:solidFill>
          </w14:textFill>
        </w:rPr>
      </w:r>
      <w:r/>
    </w:p>
    <w:p>
      <w:pPr>
        <w:jc w:val="center"/>
        <w:spacing w:line="360" w:lineRule="auto"/>
        <w:rPr>
          <w:rFonts w:ascii="宋体" w:hAnsi="宋体" w:cs="Arial"/>
          <w:b/>
          <w:bCs/>
          <w:color w:val="000000" w:themeColor="text1"/>
          <w:sz w:val="72"/>
          <w:szCs w:val="72"/>
          <w:highlight w:val="none"/>
          <w14:textFill>
            <w14:solidFill>
              <w14:schemeClr w14:val="tx1"/>
            </w14:solidFill>
          </w14:textFill>
        </w:rPr>
      </w:pPr>
      <w:r>
        <w:rPr>
          <w:rFonts w:hint="eastAsia" w:ascii="宋体" w:hAnsi="宋体" w:cs="Arial"/>
          <w:b/>
          <w:bCs/>
          <w:color w:val="000000" w:themeColor="text1"/>
          <w:sz w:val="72"/>
          <w:szCs w:val="72"/>
          <w:highlight w:val="none"/>
          <w14:textFill>
            <w14:solidFill>
              <w14:schemeClr w14:val="tx1"/>
            </w14:solidFill>
          </w14:textFill>
        </w:rPr>
        <w:t xml:space="preserve">竞争性磋商响应文件</w:t>
      </w:r>
      <w:r/>
    </w:p>
    <w:p>
      <w:pPr>
        <w:jc w:val="center"/>
        <w:spacing w:line="360" w:lineRule="auto"/>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jc w:val="center"/>
        <w:spacing w:line="360" w:lineRule="auto"/>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spacing w:line="360" w:lineRule="auto"/>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spacing w:line="360" w:lineRule="auto"/>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spacing w:line="360" w:lineRule="auto"/>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left"/>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084"/>
        <w:spacing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p>
    <w:p>
      <w:pPr>
        <w:ind w:firstLine="1084"/>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p>
    <w:p>
      <w:pPr>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磋商供应商名称 ：</w:t>
      </w:r>
      <w:r/>
    </w:p>
    <w:p>
      <w:pPr>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p>
    <w:p>
      <w:pPr>
        <w:ind w:firstLine="1084"/>
        <w:spacing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供  应  商：（电子签章）</w:t>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32"/>
          <w:szCs w:val="32"/>
          <w:highlight w:val="none"/>
          <w14:textFill>
            <w14:solidFill>
              <w14:schemeClr w14:val="tx1"/>
            </w14:solidFill>
          </w14:textFill>
        </w:rPr>
        <w:t xml:space="preserve">磋商主要文件目录</w:t>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一、资格审查响应对照表</w:t>
      </w:r>
      <w:r/>
    </w:p>
    <w:p>
      <w:pPr>
        <w:ind w:left="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二、符合性审查响应对照表</w:t>
      </w:r>
      <w:r/>
    </w:p>
    <w:p>
      <w:pPr>
        <w:ind w:left="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三、非实质性响应对照表</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i/>
          <w:color w:val="000000" w:themeColor="text1"/>
          <w:sz w:val="24"/>
          <w:highlight w:val="none"/>
          <w:u w:val="single"/>
          <w14:textFill>
            <w14:solidFill>
              <w14:schemeClr w14:val="tx1"/>
            </w14:solidFill>
          </w14:textFill>
        </w:rPr>
        <w:t xml:space="preserve">磋商响应报价表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w:t>
      </w:r>
      <w:r>
        <w:rPr>
          <w:rFonts w:hint="eastAsia" w:ascii="宋体" w:hAnsi="宋体"/>
          <w:color w:val="000000" w:themeColor="text1"/>
          <w:sz w:val="24"/>
          <w:szCs w:val="24"/>
          <w:highlight w:val="none"/>
          <w14:textFill>
            <w14:solidFill>
              <w14:schemeClr w14:val="tx1"/>
            </w14:solidFill>
          </w14:textFill>
        </w:rPr>
        <w:t xml:space="preserve">技术参数响应及偏离表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商务条款响应及偏离表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七、其他（供应商认为有必要提供的声明和文件，如有自拟并自行添加）</w:t>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一、资格审查响应对照表</w:t>
      </w:r>
      <w:r/>
    </w:p>
    <w:tbl>
      <w:tblPr>
        <w:tblStyle w:val="9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法人或者其他组织的营业执照等证明文件，自然人的身份证明</w:t>
            </w:r>
            <w:r>
              <w:rPr>
                <w:rFonts w:hint="eastAsia" w:ascii="宋体" w:hAnsi="宋体"/>
                <w:color w:val="000000" w:themeColor="text1"/>
                <w:szCs w:val="21"/>
                <w:highlight w:val="none"/>
                <w14:textFill>
                  <w14:solidFill>
                    <w14:schemeClr w14:val="tx1"/>
                  </w14:solidFill>
                </w14:textFill>
              </w:rPr>
              <w:t xml:space="preserve">（身份证为正、反面）</w:t>
            </w:r>
            <w:r/>
          </w:p>
        </w:tc>
        <w:tc>
          <w:tcPr>
            <w:tcW w:w="2158"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依法缴纳职工社会保障资金的证明材料</w:t>
            </w:r>
            <w:r>
              <w:rPr>
                <w:rFonts w:hint="eastAsia" w:ascii="宋体" w:hAnsi="宋体" w:cs="宋体"/>
                <w:b/>
                <w:bCs/>
                <w:color w:val="000000" w:themeColor="text1"/>
                <w:szCs w:val="21"/>
                <w:highlight w:val="none"/>
                <w14:textFill>
                  <w14:solidFill>
                    <w14:schemeClr w14:val="tx1"/>
                  </w14:solidFill>
                </w14:textFill>
              </w:rPr>
              <w:t xml:space="preserve">(税务、银行或社会保险基金管理部门出具的近三个月任意一个月缴纳职工社会保障资金的缴款凭证或缴款证明)（可提供“基本资格条件承诺函”）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供应商近三个月内任意一份依法纳税的缴款凭证</w:t>
            </w:r>
            <w:r>
              <w:rPr>
                <w:rFonts w:hint="eastAsia" w:ascii="宋体" w:hAnsi="宋体" w:cs="宋体"/>
                <w:b/>
                <w:bCs/>
                <w:color w:val="000000" w:themeColor="text1"/>
                <w:szCs w:val="21"/>
                <w:highlight w:val="none"/>
                <w14:textFill>
                  <w14:solidFill>
                    <w14:schemeClr w14:val="tx1"/>
                  </w14:solidFill>
                </w14:textFill>
              </w:rPr>
              <w:t xml:space="preserve">（可提供“基本资格条件承诺函”）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上一年度的财务状况情况</w:t>
            </w:r>
            <w:r>
              <w:rPr>
                <w:rFonts w:hint="eastAsia" w:ascii="宋体" w:hAnsi="宋体" w:cs="宋体"/>
                <w:b/>
                <w:bCs/>
                <w:color w:val="000000" w:themeColor="text1"/>
                <w:szCs w:val="21"/>
                <w:highlight w:val="none"/>
                <w14:textFill>
                  <w14:solidFill>
                    <w14:schemeClr w14:val="tx1"/>
                  </w14:solidFill>
                </w14:textFill>
              </w:rPr>
              <w:t xml:space="preserve">（成立不满一年不需提供）（可提供“基本资格条件承诺函”）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544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14"/>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544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90"/>
        </w:trPr>
        <w:tc>
          <w:tcPr>
            <w:gridSpan w:val="3"/>
            <w:tcW w:w="825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tcW w:w="544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详见公告</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详见公告</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5447" w:type="dxa"/>
            <w:vAlign w:val="center"/>
            <w:textDirection w:val="lrTb"/>
            <w:noWrap w:val="false"/>
          </w:tcPr>
          <w:p>
            <w:pPr>
              <w:jc w:val="left"/>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磋商响应函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r/>
          </w:p>
        </w:tc>
        <w:tc>
          <w:tcPr>
            <w:tcW w:w="5447" w:type="dxa"/>
            <w:vAlign w:val="center"/>
            <w:textDirection w:val="lrTb"/>
            <w:noWrap w:val="false"/>
          </w:tcPr>
          <w:p>
            <w:pPr>
              <w:jc w:val="left"/>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jc w:val="center"/>
        <w:spacing w:before="156" w:after="156"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基本资格条件承诺函</w:t>
      </w:r>
      <w:r/>
    </w:p>
    <w:p>
      <w:pPr>
        <w:spacing w:line="530" w:lineRule="exact"/>
        <w:tabs>
          <w:tab w:val="left" w:pos="630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致                   （采购代理机构名称）：</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我公司自愿参加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w:t>
      </w:r>
      <w:r>
        <w:rPr>
          <w:rFonts w:ascii="宋体" w:hAnsi="宋体"/>
          <w:color w:val="000000" w:themeColor="text1"/>
          <w:szCs w:val="21"/>
          <w:highlight w:val="none"/>
          <w14:textFill>
            <w14:solidFill>
              <w14:schemeClr w14:val="tx1"/>
            </w14:solidFill>
          </w14:textFill>
        </w:rPr>
        <w:t xml:space="preserve">名称）</w:t>
      </w:r>
      <w:r>
        <w:rPr>
          <w:rFonts w:hint="eastAsia" w:ascii="宋体" w:hAnsi="宋体"/>
          <w:color w:val="000000" w:themeColor="text1"/>
          <w:szCs w:val="21"/>
          <w:highlight w:val="none"/>
          <w14:textFill>
            <w14:solidFill>
              <w14:schemeClr w14:val="tx1"/>
            </w14:solidFill>
          </w14:textFill>
        </w:rPr>
        <w:t xml:space="preserve">政府采购活动，并</w:t>
      </w:r>
      <w:r>
        <w:rPr>
          <w:rFonts w:ascii="宋体" w:hAnsi="宋体"/>
          <w:color w:val="000000" w:themeColor="text1"/>
          <w:szCs w:val="21"/>
          <w:highlight w:val="none"/>
          <w14:textFill>
            <w14:solidFill>
              <w14:schemeClr w14:val="tx1"/>
            </w14:solidFill>
          </w14:textFill>
        </w:rPr>
        <w:t xml:space="preserve">郑重承诺：</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1.我方具有良好的商业信誉和健全的财务会计制度，具有履行合同所必需的设备和专业技术能力，具</w:t>
      </w:r>
      <w:r>
        <w:rPr>
          <w:rFonts w:ascii="宋体" w:hAnsi="宋体"/>
          <w:color w:val="000000" w:themeColor="text1"/>
          <w:szCs w:val="21"/>
          <w:highlight w:val="none"/>
          <w:lang w:val="zh-CN"/>
          <w14:textFill>
            <w14:solidFill>
              <w14:schemeClr w14:val="tx1"/>
            </w14:solidFill>
          </w14:textFill>
        </w:rPr>
        <w:t xml:space="preserve">有依法缴纳税收和社会保障金的良好记录</w:t>
      </w:r>
      <w:r>
        <w:rPr>
          <w:rFonts w:ascii="宋体" w:hAnsi="宋体"/>
          <w:color w:val="000000" w:themeColor="text1"/>
          <w:szCs w:val="21"/>
          <w:highlight w:val="none"/>
          <w14:textFill>
            <w14:solidFill>
              <w14:schemeClr w14:val="tx1"/>
            </w14:solidFill>
          </w14:textFill>
        </w:rPr>
        <w:t xml:space="preserve">，参加本项目采购活动前三年内无重大违法活动记录。</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我方对以上承诺负全部法律责任。</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特此承诺。</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法定代表人（签章）：</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供应商名称（签章）：</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年   月   日</w:t>
      </w:r>
      <w:r>
        <w:rPr>
          <w:rFonts w:hint="eastAsia" w:ascii="宋体" w:hAnsi="宋体"/>
          <w:b/>
          <w:color w:val="000000" w:themeColor="text1"/>
          <w:szCs w:val="21"/>
          <w:highlight w:val="none"/>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供应商信用承诺书</w:t>
      </w:r>
      <w:r/>
    </w:p>
    <w:p>
      <w:pPr>
        <w:spacing w:line="360" w:lineRule="auto"/>
        <w:rPr>
          <w:rFonts w:ascii="方正仿宋_GBK"/>
          <w:color w:val="000000" w:themeColor="text1"/>
          <w:szCs w:val="32"/>
          <w:highlight w:val="none"/>
          <w14:textFill>
            <w14:solidFill>
              <w14:schemeClr w14:val="tx1"/>
            </w14:solidFill>
          </w14:textFill>
        </w:rPr>
      </w:pPr>
      <w:r>
        <w:rPr>
          <w:rFonts w:ascii="方正仿宋_GBK"/>
          <w:color w:val="000000" w:themeColor="text1"/>
          <w:szCs w:val="32"/>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承诺主体名称：</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统一社会信用代码：</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十、本承诺书自签订之日起生效。</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承诺单位（签章）：           </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法定代表人（负责人）：</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年    月    日</w:t>
      </w:r>
      <w:r/>
    </w:p>
    <w:p>
      <w:pPr>
        <w:jc w:val="center"/>
        <w:spacing w:line="360" w:lineRule="auto"/>
        <w:rPr>
          <w:rFonts w:ascii="宋体" w:hAnsi="宋体"/>
          <w:b/>
          <w:bCs/>
          <w:color w:val="000000" w:themeColor="text1"/>
          <w:highlight w:val="none"/>
          <w14:textFill>
            <w14:solidFill>
              <w14:schemeClr w14:val="tx1"/>
            </w14:solidFill>
          </w14:textFill>
        </w:rPr>
        <w:sectPr>
          <w:headerReference w:type="default" r:id="rId12"/>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磋商响应函</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致：（代理公司）</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根据贵方的号磋商文件，正式授权下述签字人_________ (姓名和职务)代表我方______________（供应商的名称），全权处理本次项目磋商采购的有关事宜。</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据此函，__________（签字人）兹宣布同意如下：</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1.按磋商文件规定的各项要求，向买方提供所需服务。</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2.我们已详细审核全部磋商文件及其有效补充文件，我们知道必须放弃提出含糊不清或误解问题的权利。</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3.我们同意从规定的响应文件接收截止时间起遵循本响应文件，并在规定的磋商有效期期满之前均具有约束力。</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6.遵守磋商文件中要求的收费项目和标准。</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7.与本磋商采购有关的正式通讯地址为：</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地 址：                         邮 编：</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电 话：                         传 真：</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供应商开户行：                  账 户： </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法定代表人姓名（签章）：         联系电话：</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供应商名称（公章）：            </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 期：________年____月____日</w:t>
      </w:r>
      <w:r/>
    </w:p>
    <w:p>
      <w:pPr>
        <w:pStyle w:val="1109"/>
        <w:ind w:firstLine="422"/>
        <w:jc w:val="center"/>
        <w:spacing w:after="312" w:line="360" w:lineRule="auto"/>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br w:type="page" w:clear="all"/>
      </w:r>
      <w:r>
        <w:rPr>
          <w:rFonts w:hint="eastAsia" w:ascii="宋体" w:hAnsi="宋体"/>
          <w:b/>
          <w:color w:val="000000" w:themeColor="text1"/>
          <w:sz w:val="21"/>
          <w:szCs w:val="21"/>
          <w:highlight w:val="none"/>
          <w14:textFill>
            <w14:solidFill>
              <w14:schemeClr w14:val="tx1"/>
            </w14:solidFill>
          </w14:textFill>
        </w:rPr>
        <w:t xml:space="preserve">法人授权书</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本授权书声明：</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（供应商名称）授权</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（被授权人的姓名）为我方就（项目编号）号（项目名称）项目采购活动的合法代理人，以本公司名义全权处理一切与该项目采购有关的事务。</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本授权书于</w:t>
      </w:r>
      <w:r>
        <w:rPr>
          <w:rFonts w:ascii="宋体" w:hAnsi="宋体"/>
          <w:color w:val="000000" w:themeColor="text1"/>
          <w:sz w:val="21"/>
          <w:szCs w:val="21"/>
          <w:highlight w:val="none"/>
          <w14:textFill>
            <w14:solidFill>
              <w14:schemeClr w14:val="tx1"/>
            </w14:solidFill>
          </w14:textFill>
        </w:rPr>
        <w:t xml:space="preserve">______</w:t>
      </w:r>
      <w:r>
        <w:rPr>
          <w:rFonts w:hint="eastAsia" w:ascii="宋体" w:hAnsi="宋体"/>
          <w:color w:val="000000" w:themeColor="text1"/>
          <w:sz w:val="21"/>
          <w:szCs w:val="21"/>
          <w:highlight w:val="none"/>
          <w14:textFill>
            <w14:solidFill>
              <w14:schemeClr w14:val="tx1"/>
            </w14:solidFill>
          </w14:textFill>
        </w:rPr>
        <w:t xml:space="preserve">年</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月</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日起生效，特此声明。</w:t>
      </w:r>
      <w:r/>
    </w:p>
    <w:p>
      <w:pPr>
        <w:pStyle w:val="1109"/>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被授权人姓名：</w:t>
      </w:r>
      <w:r>
        <w:rPr>
          <w:rFonts w:ascii="宋体" w:hAnsi="宋体"/>
          <w:color w:val="000000" w:themeColor="text1"/>
          <w:sz w:val="21"/>
          <w:szCs w:val="21"/>
          <w:highlight w:val="none"/>
          <w14:textFill>
            <w14:solidFill>
              <w14:schemeClr w14:val="tx1"/>
            </w14:solidFill>
          </w14:textFill>
        </w:rPr>
        <w:t xml:space="preserve">_______________________</w:t>
      </w:r>
      <w:r/>
    </w:p>
    <w:p>
      <w:pPr>
        <w:pStyle w:val="1109"/>
        <w:ind w:firstLine="420"/>
        <w:spacing w:line="360" w:lineRule="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联系电话（手机）：</w:t>
      </w:r>
      <w:r/>
    </w:p>
    <w:p>
      <w:pPr>
        <w:pStyle w:val="1109"/>
        <w:ind w:firstLine="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单位名称：</w:t>
      </w:r>
      <w:r>
        <w:rPr>
          <w:rFonts w:ascii="宋体" w:hAnsi="宋体"/>
          <w:color w:val="000000" w:themeColor="text1"/>
          <w:sz w:val="21"/>
          <w:szCs w:val="21"/>
          <w:highlight w:val="none"/>
          <w14:textFill>
            <w14:solidFill>
              <w14:schemeClr w14:val="tx1"/>
            </w14:solidFill>
          </w14:textFill>
        </w:rPr>
        <w:t xml:space="preserve">____________________________________</w:t>
      </w:r>
      <w:r/>
    </w:p>
    <w:p>
      <w:pPr>
        <w:pStyle w:val="1109"/>
        <w:ind w:firstLine="420"/>
        <w:spacing w:line="360" w:lineRule="auto"/>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单位地址：</w:t>
      </w:r>
      <w:r/>
    </w:p>
    <w:p>
      <w:pPr>
        <w:pStyle w:val="1109"/>
        <w:ind w:firstLine="42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日期：</w:t>
      </w:r>
      <w:r/>
    </w:p>
    <w:p>
      <w:pPr>
        <w:spacing w:line="360" w:lineRule="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ind w:firstLine="420"/>
        <w:spacing w:line="360" w:lineRule="auto"/>
        <w:rPr>
          <w:rFonts w:ascii="宋体" w:hAnsi="宋体"/>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highlight w:val="none"/>
          <w14:textFill>
            <w14:solidFill>
              <w14:schemeClr w14:val="tx1"/>
            </w14:solidFill>
          </w14:textFill>
        </w:rPr>
        <w:t xml:space="preserve">法人、被授权人身份证复印件</w:t>
      </w:r>
      <w:r/>
    </w:p>
    <w:p>
      <w:pPr>
        <w:numPr>
          <w:ilvl w:val="0"/>
          <w:numId w:val="7"/>
        </w:num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符合性审查响应对照表</w:t>
      </w:r>
      <w:r/>
    </w:p>
    <w:tbl>
      <w:tblPr>
        <w:tblStyle w:val="9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符合性审查响应内容</w:t>
            </w:r>
            <w:r/>
          </w:p>
        </w:tc>
        <w:tc>
          <w:tcPr>
            <w:tcW w:w="1680"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br w:type="page" w:clear="all"/>
      </w:r>
      <w:r/>
    </w:p>
    <w:p>
      <w:pPr>
        <w:numPr>
          <w:ilvl w:val="0"/>
          <w:numId w:val="7"/>
        </w:num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非实质性响应对照表</w:t>
      </w:r>
      <w:r/>
    </w:p>
    <w:p>
      <w:pPr>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tbl>
      <w:tblPr>
        <w:tblStyle w:val="9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非实质性响应内容</w:t>
            </w:r>
            <w:r/>
          </w:p>
        </w:tc>
        <w:tc>
          <w:tcPr>
            <w:tcW w:w="1680"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《企业声明函》</w:t>
            </w:r>
            <w:r/>
          </w:p>
        </w:tc>
        <w:tc>
          <w:tcPr>
            <w:tcW w:w="1680"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《残疾人福利性单位声明函》</w:t>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spacing w:before="312" w:after="312"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br w:type="page" w:clear="all"/>
      </w:r>
      <w:r>
        <w:rPr>
          <w:rFonts w:hint="eastAsia"/>
          <w:b/>
          <w:bCs/>
          <w:color w:val="000000" w:themeColor="text1"/>
          <w:highlight w:val="none"/>
          <w14:textFill>
            <w14:solidFill>
              <w14:schemeClr w14:val="tx1"/>
            </w14:solidFill>
          </w14:textFill>
        </w:rPr>
        <w:t xml:space="preserve">中小企业声明函（工程、服务）</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 </w:t>
      </w:r>
      <w:r>
        <w:rPr>
          <w:rFonts w:hint="eastAsia"/>
          <w:color w:val="000000" w:themeColor="text1"/>
          <w:highlight w:val="none"/>
          <w:u w:val="single"/>
          <w14:textFill>
            <w14:solidFill>
              <w14:schemeClr w14:val="tx1"/>
            </w14:solidFill>
          </w14:textFill>
        </w:rPr>
        <w:t xml:space="preserve">（标的名称）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（采购文件中明确的所属行业）（该行业类别不可修改）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，从业人员人，营业收入为万元，资产总额为万元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"br1" </w:instrText>
      </w:r>
      <w:r>
        <w:rPr>
          <w:color w:val="000000" w:themeColor="text1"/>
          <w:highlight w:val="none"/>
          <w14:textFill>
            <w14:solidFill>
              <w14:schemeClr w14:val="tx1"/>
            </w14:solidFill>
          </w14:textFill>
        </w:rPr>
        <w:fldChar w:fldCharType="separate"/>
      </w:r>
      <w:r>
        <w:rPr>
          <w:rFonts w:ascii="仿宋" w:eastAsia="Times New Roman"/>
          <w:color w:val="000000" w:themeColor="text1"/>
          <w:spacing w:val="-1"/>
          <w:highlight w:val="none"/>
          <w:vertAlign w:val="superscript"/>
          <w14:textFill>
            <w14:solidFill>
              <w14:schemeClr w14:val="tx1"/>
            </w14:solidFill>
          </w14:textFill>
        </w:rPr>
        <w:t xml:space="preserve">1</w:t>
      </w:r>
      <w:r>
        <w:rPr>
          <w:rFonts w:ascii="仿宋" w:eastAsia="Times New Roman"/>
          <w:color w:val="000000" w:themeColor="text1"/>
          <w:spacing w:val="-1"/>
          <w:highlight w:val="none"/>
          <w:vertAlign w:val="superscript"/>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2. </w:t>
      </w:r>
      <w:r>
        <w:rPr>
          <w:rFonts w:hint="eastAsia"/>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 ，属于</w:t>
      </w:r>
      <w:r>
        <w:rPr>
          <w:rFonts w:hint="eastAsia"/>
          <w:color w:val="000000" w:themeColor="text1"/>
          <w:highlight w:val="none"/>
          <w:u w:val="single"/>
          <w14:textFill>
            <w14:solidFill>
              <w14:schemeClr w14:val="tx1"/>
            </w14:solidFill>
          </w14:textFill>
        </w:rPr>
        <w:t xml:space="preserve">（采购文件中明确的所属行业（该行业类别不可修改））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，从业人员人，营业收入为万元，资产总额为万元，属于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w:t>
      </w:r>
      <w:r>
        <w:rPr>
          <w:rFonts w:hint="eastAsia" w:ascii="宋体" w:hAnsi="宋体"/>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2、供应商如不提供此声明函，价格将不做相应扣除。</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3、企业声明函请完整填写，中标后将公示。</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ind w:firstLine="46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ind w:firstLine="4620"/>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7"/>
        <w:jc w:val="center"/>
        <w:spacing w:before="300" w:after="300" w:line="360" w:lineRule="auto"/>
        <w:widowControl/>
        <w:rPr>
          <w:rFonts w:ascii="宋体" w:hAnsi="宋体"/>
          <w:color w:val="000000" w:themeColor="text1"/>
          <w:sz w:val="21"/>
          <w:szCs w:val="21"/>
          <w:highlight w:val="none"/>
          <w14:textFill>
            <w14:solidFill>
              <w14:schemeClr w14:val="tx1"/>
            </w14:solidFill>
          </w14:textFill>
        </w:rPr>
      </w:pPr>
      <w:r/>
      <w:bookmarkStart w:id="575" w:name="_Toc109304977"/>
      <w:r/>
      <w:bookmarkStart w:id="576" w:name="_Toc5595"/>
      <w:r>
        <w:rPr>
          <w:rFonts w:hint="eastAsia" w:ascii="宋体" w:hAnsi="宋体" w:cs="微软雅黑"/>
          <w:bCs w:val="0"/>
          <w:color w:val="000000" w:themeColor="text1"/>
          <w:sz w:val="21"/>
          <w:szCs w:val="21"/>
          <w:highlight w:val="none"/>
          <w14:textFill>
            <w14:solidFill>
              <w14:schemeClr w14:val="tx1"/>
            </w14:solidFill>
          </w14:textFill>
        </w:rPr>
        <w:t xml:space="preserve">中小微企业划型标准</w:t>
      </w:r>
      <w:bookmarkEnd w:id="575"/>
      <w:r>
        <w:rPr>
          <w:rFonts w:hint="eastAsia" w:ascii="宋体" w:hAnsi="宋体" w:cs="微软雅黑"/>
          <w:bCs w:val="0"/>
          <w:color w:val="000000" w:themeColor="text1"/>
          <w:sz w:val="21"/>
          <w:szCs w:val="21"/>
          <w:highlight w:val="none"/>
          <w14:textFill>
            <w14:solidFill>
              <w14:schemeClr w14:val="tx1"/>
            </w14:solidFill>
          </w14:textFill>
        </w:rPr>
        <w:t xml:space="preserve"> </w:t>
      </w:r>
      <w:bookmarkEnd w:id="576"/>
      <w:r/>
      <w:r/>
    </w:p>
    <w:p>
      <w:pPr>
        <w:pStyle w:val="1110"/>
        <w:ind w:firstLine="420"/>
        <w:spacing w:before="300" w:after="452" w:line="360" w:lineRule="auto"/>
        <w:widowControl/>
        <w:rPr>
          <w:rFonts w:ascii="宋体" w:hAnsi="宋体"/>
          <w:color w:val="000000" w:themeColor="text1"/>
          <w:sz w:val="21"/>
          <w:szCs w:val="21"/>
          <w:highlight w:val="none"/>
          <w14:textFill>
            <w14:solidFill>
              <w14:schemeClr w14:val="tx1"/>
            </w14:solidFill>
          </w14:textFill>
        </w:rPr>
      </w:pPr>
      <w:r>
        <w:rPr>
          <w:rFonts w:hint="eastAsia" w:ascii="宋体" w:hAnsi="宋体" w:cs="仿宋"/>
          <w:color w:val="000000" w:themeColor="text1"/>
          <w:sz w:val="21"/>
          <w:szCs w:val="21"/>
          <w:highlight w:val="none"/>
          <w14:textFill>
            <w14:solidFill>
              <w14:schemeClr w14:val="tx1"/>
            </w14:solidFill>
          </w14:textFill>
        </w:rPr>
        <w:t xml:space="preserve">    </w:t>
      </w:r>
      <w:r>
        <w:rPr>
          <w:rStyle w:val="1111"/>
          <w:rFonts w:hint="eastAsia" w:ascii="宋体" w:hAnsi="宋体" w:cs="仿宋"/>
          <w:color w:val="000000" w:themeColor="text1"/>
          <w:szCs w:val="21"/>
          <w:highlight w:val="none"/>
          <w14:textFill>
            <w14:solidFill>
              <w14:schemeClr w14:val="tx1"/>
            </w14:solidFill>
          </w14:textFill>
        </w:rPr>
        <w:t xml:space="preserve">中小微企业划型标准如下：</w:t>
      </w:r>
      <w:r/>
    </w:p>
    <w:tbl>
      <w:tblPr>
        <w:tblStyle w:val="918"/>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110"/>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110"/>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X＜10</w:t>
            </w:r>
            <w:r/>
          </w:p>
        </w:tc>
      </w:tr>
    </w:tbl>
    <w:p>
      <w:pPr>
        <w:pStyle w:val="1110"/>
        <w:ind w:firstLine="420"/>
        <w:spacing w:before="300" w:after="452" w:line="360" w:lineRule="auto"/>
        <w:widowControl/>
        <w:rPr>
          <w:rStyle w:val="1111"/>
          <w:rFonts w:ascii="宋体" w:hAnsi="宋体" w:cs="仿宋"/>
          <w:color w:val="000000" w:themeColor="text1"/>
          <w:szCs w:val="21"/>
          <w:highlight w:val="none"/>
          <w14:textFill>
            <w14:solidFill>
              <w14:schemeClr w14:val="tx1"/>
            </w14:solidFill>
          </w14:textFill>
        </w:rPr>
      </w:pPr>
      <w:r>
        <w:rPr>
          <w:rStyle w:val="1111"/>
          <w:rFonts w:hint="eastAsia" w:ascii="宋体" w:hAnsi="宋体" w:cs="仿宋"/>
          <w:color w:val="000000" w:themeColor="text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color w:val="000000" w:themeColor="text1"/>
          <w:highlight w:val="none"/>
          <w14:textFill>
            <w14:solidFill>
              <w14:schemeClr w14:val="tx1"/>
            </w14:solidFill>
          </w14:textFill>
        </w:rPr>
      </w:pPr>
      <w:r>
        <w:rPr>
          <w:rStyle w:val="1111"/>
          <w:rFonts w:ascii="宋体" w:hAnsi="宋体" w:cs="仿宋"/>
          <w:color w:val="000000" w:themeColor="text1"/>
          <w:szCs w:val="21"/>
          <w:highlight w:val="none"/>
          <w14:textFill>
            <w14:solidFill>
              <w14:schemeClr w14:val="tx1"/>
            </w14:solidFill>
          </w14:textFill>
        </w:rPr>
        <w:br w:type="page" w:clear="all"/>
      </w:r>
      <w:r>
        <w:rPr>
          <w:rFonts w:hint="eastAsia" w:ascii="宋体" w:hAnsi="宋体"/>
          <w:b/>
          <w:bCs/>
          <w:color w:val="000000" w:themeColor="text1"/>
          <w:highlight w:val="none"/>
          <w14:textFill>
            <w14:solidFill>
              <w14:schemeClr w14:val="tx1"/>
            </w14:solidFill>
          </w14:textFill>
        </w:rPr>
        <w:t xml:space="preserve">残疾人福利性单位声明函</w:t>
      </w:r>
      <w:r/>
    </w:p>
    <w:p>
      <w:pPr>
        <w:ind w:firstLine="624"/>
        <w:spacing w:line="360" w:lineRule="auto"/>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本单位在本次政府采购活动中提供的残疾人福利单位产品报价合计为人民币（大写）圆整（¥：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360" w:lineRule="auto"/>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供应商全称（盖章）：</w:t>
      </w:r>
      <w:r/>
    </w:p>
    <w:p>
      <w:pPr>
        <w:ind w:right="1560" w:firstLine="420"/>
        <w:jc w:val="center"/>
        <w:spacing w:line="360" w:lineRule="auto"/>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spacing w:line="360" w:lineRule="auto"/>
        <w:rPr>
          <w:rFonts w:ascii="宋体" w:hAnsi="宋体"/>
          <w:b/>
          <w:bCs/>
          <w:color w:val="000000" w:themeColor="text1"/>
          <w:sz w:val="32"/>
          <w:szCs w:val="32"/>
          <w:highlight w:val="none"/>
          <w14:textFill>
            <w14:solidFill>
              <w14:schemeClr w14:val="tx1"/>
            </w14:solidFill>
          </w14:textFill>
        </w:rPr>
      </w:pPr>
      <w:r/>
      <w:bookmarkStart w:id="577" w:name="_Toc109304978"/>
      <w:r/>
      <w:r/>
    </w:p>
    <w:p>
      <w:pPr>
        <w:pStyle w:val="109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四、磋商响应报价表</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12"/>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项目名称： </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项目编号：     </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本次为首次报价                                                      </w:t>
      </w:r>
      <w:r/>
    </w:p>
    <w:tbl>
      <w:tblPr>
        <w:tblStyle w:val="9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第一轮报价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报价</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大写：</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righ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年   月    日</w:t>
      </w:r>
      <w:r/>
    </w:p>
    <w:p>
      <w:pPr>
        <w:pStyle w:val="1094"/>
        <w:jc w:val="center"/>
        <w:spacing w:line="360" w:lineRule="auto"/>
        <w:rPr>
          <w:color w:val="000000" w:themeColor="text1"/>
          <w:highlight w:val="none"/>
          <w14:textFill>
            <w14:solidFill>
              <w14:schemeClr w14:val="tx1"/>
            </w14:solidFill>
          </w14:textFill>
        </w:rPr>
      </w:pPr>
      <w:r>
        <w:rPr>
          <w:rFonts w:ascii="宋体" w:hAnsi="宋体"/>
          <w:bCs w:val="0"/>
          <w:color w:val="000000" w:themeColor="text1"/>
          <w:highlight w:val="none"/>
          <w14:textFill>
            <w14:solidFill>
              <w14:schemeClr w14:val="tx1"/>
            </w14:solidFill>
          </w14:textFill>
        </w:rPr>
        <w:br w:type="page" w:clear="all"/>
      </w:r>
      <w:bookmarkStart w:id="578" w:name="_Toc2503"/>
      <w:r>
        <w:rPr>
          <w:rFonts w:hint="eastAsia" w:ascii="宋体" w:hAnsi="宋体"/>
          <w:bCs w:val="0"/>
          <w:color w:val="000000" w:themeColor="text1"/>
          <w:highlight w:val="none"/>
          <w14:textFill>
            <w14:solidFill>
              <w14:schemeClr w14:val="tx1"/>
            </w14:solidFill>
          </w14:textFill>
        </w:rPr>
        <w:t xml:space="preserve">分项报价表</w:t>
      </w:r>
      <w:bookmarkEnd w:id="578"/>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本次为首轮报价</w:t>
      </w:r>
      <w:r/>
    </w:p>
    <w:p>
      <w:pPr>
        <w:pStyle w:val="1112"/>
        <w:spacing w:line="360" w:lineRule="auto"/>
        <w:rPr>
          <w:color w:val="000000" w:themeColor="text1"/>
          <w:sz w:val="21"/>
          <w:szCs w:val="22"/>
          <w:highlight w:val="none"/>
          <w14:textFill>
            <w14:solidFill>
              <w14:schemeClr w14:val="tx1"/>
            </w14:solidFill>
          </w14:textFill>
        </w:rPr>
      </w:pPr>
      <w:r>
        <w:rPr>
          <w:rFonts w:hint="eastAsia"/>
          <w:color w:val="000000" w:themeColor="text1"/>
          <w:sz w:val="21"/>
          <w:szCs w:val="22"/>
          <w:highlight w:val="none"/>
          <w14:textFill>
            <w14:solidFill>
              <w14:schemeClr w14:val="tx1"/>
            </w14:solidFill>
          </w14:textFill>
        </w:rPr>
        <w:t xml:space="preserve">项目名称： </w:t>
      </w:r>
      <w:r/>
    </w:p>
    <w:p>
      <w:pPr>
        <w:pStyle w:val="1112"/>
        <w:spacing w:line="360" w:lineRule="auto"/>
        <w:rPr>
          <w:color w:val="000000" w:themeColor="text1"/>
          <w:sz w:val="21"/>
          <w:szCs w:val="22"/>
          <w:highlight w:val="none"/>
          <w14:textFill>
            <w14:solidFill>
              <w14:schemeClr w14:val="tx1"/>
            </w14:solidFill>
          </w14:textFill>
        </w:rPr>
      </w:pPr>
      <w:r>
        <w:rPr>
          <w:rFonts w:hint="eastAsia"/>
          <w:color w:val="000000" w:themeColor="text1"/>
          <w:sz w:val="21"/>
          <w:szCs w:val="22"/>
          <w:highlight w:val="none"/>
          <w14:textFill>
            <w14:solidFill>
              <w14:schemeClr w14:val="tx1"/>
            </w14:solidFill>
          </w14:textFill>
        </w:rPr>
        <w:t xml:space="preserve">项目编号：</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1、行数不够，可自行添加。</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s="Arial"/>
          <w:b/>
          <w:bCs/>
          <w:i/>
          <w:iCs/>
          <w:color w:val="000000" w:themeColor="text1"/>
          <w:szCs w:val="24"/>
          <w:highlight w:val="none"/>
          <w:u w:val="single"/>
          <w14:textFill>
            <w14:solidFill>
              <w14:schemeClr w14:val="tx1"/>
            </w14:solidFill>
          </w14:textFill>
        </w:rPr>
        <w:t xml:space="preserve">本工程另附工程量清单</w:t>
      </w:r>
      <w:r>
        <w:rPr>
          <w:rFonts w:hint="eastAsia" w:ascii="宋体" w:hAnsi="宋体"/>
          <w:b/>
          <w:bCs/>
          <w:i/>
          <w:iCs/>
          <w:color w:val="000000" w:themeColor="text1"/>
          <w:szCs w:val="21"/>
          <w:highlight w:val="none"/>
          <w:u w:val="single"/>
          <w14:textFill>
            <w14:solidFill>
              <w14:schemeClr w14:val="tx1"/>
            </w14:solidFill>
          </w14:textFill>
        </w:rPr>
        <w:t xml:space="preserve">。</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094"/>
        <w:spacing w:line="360" w:lineRule="auto"/>
        <w:rPr>
          <w:rFonts w:ascii="宋体" w:hAnsi="宋体"/>
          <w:b w:val="0"/>
          <w:bCs w:val="0"/>
          <w:color w:val="000000" w:themeColor="text1"/>
          <w:sz w:val="21"/>
          <w:szCs w:val="21"/>
          <w:highlight w:val="none"/>
          <w14:textFill>
            <w14:solidFill>
              <w14:schemeClr w14:val="tx1"/>
            </w14:solidFill>
          </w14:textFill>
        </w:rPr>
      </w:pPr>
      <w:r>
        <w:rPr>
          <w:rFonts w:ascii="宋体" w:hAnsi="宋体"/>
          <w:b w:val="0"/>
          <w:bCs w:val="0"/>
          <w:color w:val="000000" w:themeColor="text1"/>
          <w:sz w:val="21"/>
          <w:szCs w:val="21"/>
          <w:highlight w:val="none"/>
          <w14:textFill>
            <w14:solidFill>
              <w14:schemeClr w14:val="tx1"/>
            </w14:solidFill>
          </w14:textFill>
        </w:rPr>
      </w:r>
      <w:r/>
    </w:p>
    <w:p>
      <w:pPr>
        <w:pStyle w:val="1097"/>
        <w:jc w:val="center"/>
        <w:spacing w:line="360" w:lineRule="auto"/>
        <w:rPr>
          <w:rFonts w:ascii="宋体" w:hAnsi="宋体"/>
          <w:bCs w:val="0"/>
          <w:color w:val="000000" w:themeColor="text1"/>
          <w:highlight w:val="none"/>
          <w14:textFill>
            <w14:solidFill>
              <w14:schemeClr w14:val="tx1"/>
            </w14:solidFill>
          </w14:textFill>
        </w:rPr>
      </w:pPr>
      <w:r>
        <w:rPr>
          <w:rFonts w:ascii="宋体" w:hAnsi="宋体"/>
          <w:bCs w:val="0"/>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br w:type="page" w:clear="all"/>
      </w:r>
      <w:r/>
    </w:p>
    <w:p>
      <w:pPr>
        <w:pStyle w:val="1097"/>
        <w:jc w:val="center"/>
        <w:spacing w:line="360" w:lineRule="auto"/>
        <w:rPr>
          <w:rFonts w:ascii="宋体" w:hAnsi="宋体"/>
          <w:bCs w:val="0"/>
          <w:color w:val="000000" w:themeColor="text1"/>
          <w:highlight w:val="none"/>
          <w14:textFill>
            <w14:solidFill>
              <w14:schemeClr w14:val="tx1"/>
            </w14:solidFill>
          </w14:textFill>
        </w:rPr>
      </w:pPr>
      <w:r/>
      <w:bookmarkStart w:id="579" w:name="_Toc19223"/>
      <w:r>
        <w:rPr>
          <w:rFonts w:hint="eastAsia" w:ascii="宋体" w:hAnsi="宋体"/>
          <w:bCs w:val="0"/>
          <w:color w:val="000000" w:themeColor="text1"/>
          <w:highlight w:val="none"/>
          <w14:textFill>
            <w14:solidFill>
              <w14:schemeClr w14:val="tx1"/>
            </w14:solidFill>
          </w14:textFill>
        </w:rPr>
        <w:t xml:space="preserve">五、技术参数响应及偏离表</w:t>
      </w:r>
      <w:bookmarkEnd w:id="577"/>
      <w:r/>
      <w:bookmarkEnd w:id="579"/>
      <w:r/>
      <w:r/>
    </w:p>
    <w:tbl>
      <w:tblPr>
        <w:tblStyle w:val="9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采购要求</w:t>
            </w:r>
            <w:r/>
          </w:p>
        </w:tc>
        <w:tc>
          <w:tcPr>
            <w:tcW w:w="285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磋商响应</w:t>
            </w:r>
            <w:r/>
          </w:p>
        </w:tc>
        <w:tc>
          <w:tcPr>
            <w:tcW w:w="1308"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超出、符合或偏离</w:t>
            </w:r>
            <w:r/>
          </w:p>
        </w:tc>
        <w:tc>
          <w:tcPr>
            <w:tcW w:w="1173"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注：1、按照基本技术要求详细填列。</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2、行数不够，可自行添加。</w:t>
      </w:r>
      <w:r/>
    </w:p>
    <w:p>
      <w:pPr>
        <w:pStyle w:val="1097"/>
        <w:jc w:val="center"/>
        <w:spacing w:line="360" w:lineRule="auto"/>
        <w:rPr>
          <w:rFonts w:ascii="宋体" w:hAnsi="宋体"/>
          <w:bCs w:val="0"/>
          <w:color w:val="000000" w:themeColor="text1"/>
          <w:highlight w:val="none"/>
          <w14:textFill>
            <w14:solidFill>
              <w14:schemeClr w14:val="tx1"/>
            </w14:solidFill>
          </w14:textFill>
        </w:rPr>
      </w:pPr>
      <w:r/>
      <w:bookmarkStart w:id="580" w:name="_Hlt26955054"/>
      <w:r/>
      <w:bookmarkEnd w:id="580"/>
      <w:r/>
      <w:bookmarkStart w:id="581" w:name="_Toc109304979"/>
      <w:r>
        <w:rPr>
          <w:rFonts w:ascii="宋体" w:hAnsi="宋体"/>
          <w:bCs w:val="0"/>
          <w:color w:val="000000" w:themeColor="text1"/>
          <w:highlight w:val="none"/>
          <w14:textFill>
            <w14:solidFill>
              <w14:schemeClr w14:val="tx1"/>
            </w14:solidFill>
          </w14:textFill>
        </w:rPr>
        <w:br w:type="page" w:clear="all"/>
      </w:r>
      <w:bookmarkStart w:id="582" w:name="_Toc11354"/>
      <w:r>
        <w:rPr>
          <w:rFonts w:hint="eastAsia" w:ascii="宋体" w:hAnsi="宋体"/>
          <w:bCs w:val="0"/>
          <w:color w:val="000000" w:themeColor="text1"/>
          <w:highlight w:val="none"/>
          <w14:textFill>
            <w14:solidFill>
              <w14:schemeClr w14:val="tx1"/>
            </w14:solidFill>
          </w14:textFill>
        </w:rPr>
        <w:t xml:space="preserve">六、商务条款响应及偏离表</w:t>
      </w:r>
      <w:bookmarkEnd w:id="581"/>
      <w:r/>
      <w:bookmarkEnd w:id="582"/>
      <w:r/>
      <w:r/>
    </w:p>
    <w:tbl>
      <w:tblPr>
        <w:tblStyle w:val="918"/>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2513"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是否响应</w:t>
            </w:r>
            <w:r/>
          </w:p>
        </w:tc>
        <w:tc>
          <w:tcPr>
            <w:tcBorders>
              <w:top w:val="single" w:color="000000" w:sz="4" w:space="0"/>
              <w:left w:val="single" w:color="000000" w:sz="4" w:space="0"/>
              <w:bottom w:val="single" w:color="000000" w:sz="4" w:space="0"/>
              <w:right w:val="single" w:color="000000" w:sz="4" w:space="0"/>
            </w:tcBorders>
            <w:tcW w:w="2995"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供应商的承诺或说明</w:t>
            </w:r>
            <w:r/>
          </w:p>
        </w:tc>
      </w:tr>
      <w:tr>
        <w:trPr>
          <w:trHeight w:val="593"/>
        </w:trPr>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施工工期</w:t>
            </w:r>
            <w:r/>
          </w:p>
        </w:tc>
        <w:tc>
          <w:tcPr>
            <w:tcBorders>
              <w:top w:val="single" w:color="000000" w:sz="4" w:space="0"/>
              <w:left w:val="single" w:color="000000" w:sz="4" w:space="0"/>
              <w:bottom w:val="single" w:color="000000" w:sz="4" w:space="0"/>
              <w:right w:val="single" w:color="000000" w:sz="4" w:space="0"/>
            </w:tcBorders>
            <w:tcW w:w="2513"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85"/>
        </w:trPr>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jc w:val="center"/>
              <w:spacing w:before="156" w:line="360" w:lineRule="auto"/>
              <w:rPr>
                <w:rFonts w:ascii="仿宋_GB2312"/>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施工质量要求</w:t>
            </w:r>
            <w:r/>
          </w:p>
        </w:tc>
        <w:tc>
          <w:tcPr>
            <w:tcBorders>
              <w:top w:val="single" w:color="000000" w:sz="4" w:space="0"/>
              <w:left w:val="single" w:color="000000" w:sz="4" w:space="0"/>
              <w:bottom w:val="single" w:color="000000" w:sz="4" w:space="0"/>
              <w:right w:val="single" w:color="000000" w:sz="4" w:space="0"/>
            </w:tcBorders>
            <w:tcW w:w="2513" w:type="dxa"/>
            <w:textDirection w:val="lrTb"/>
            <w:noWrap w:val="false"/>
          </w:tcPr>
          <w:p>
            <w:pPr>
              <w:spacing w:before="156" w:line="360" w:lineRule="auto"/>
              <w:rPr>
                <w:rFonts w:ascii="仿宋_GB2312" w:hAnsi="宋体"/>
                <w:color w:val="000000" w:themeColor="text1"/>
                <w:szCs w:val="21"/>
                <w:highlight w:val="none"/>
                <w14:textFill>
                  <w14:solidFill>
                    <w14:schemeClr w14:val="tx1"/>
                  </w14:solidFill>
                </w14:textFill>
              </w:rPr>
            </w:pPr>
            <w:r>
              <w:rPr>
                <w:rFonts w:ascii="仿宋_GB2312"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507"/>
        </w:trPr>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jc w:val="center"/>
              <w:spacing w:before="156" w:line="360" w:lineRule="auto"/>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安全生产</w:t>
            </w:r>
            <w:r/>
          </w:p>
        </w:tc>
        <w:tc>
          <w:tcPr>
            <w:tcBorders>
              <w:top w:val="single" w:color="000000" w:sz="4" w:space="0"/>
              <w:left w:val="single" w:color="000000" w:sz="4" w:space="0"/>
              <w:bottom w:val="single" w:color="000000" w:sz="4" w:space="0"/>
              <w:right w:val="single" w:color="000000" w:sz="4" w:space="0"/>
            </w:tcBorders>
            <w:tcW w:w="2513" w:type="dxa"/>
            <w:textDirection w:val="lrTb"/>
            <w:noWrap w:val="false"/>
          </w:tcPr>
          <w:p>
            <w:pPr>
              <w:spacing w:before="156" w:line="360" w:lineRule="auto"/>
              <w:rPr>
                <w:rFonts w:ascii="仿宋_GB2312" w:hAnsi="宋体"/>
                <w:color w:val="000000" w:themeColor="text1"/>
                <w:szCs w:val="21"/>
                <w:highlight w:val="none"/>
                <w14:textFill>
                  <w14:solidFill>
                    <w14:schemeClr w14:val="tx1"/>
                  </w14:solidFill>
                </w14:textFill>
              </w:rPr>
            </w:pPr>
            <w:r>
              <w:rPr>
                <w:rFonts w:ascii="仿宋_GB2312"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val="false"/>
          </w:tcPr>
          <w:p>
            <w:pP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83"/>
        </w:trPr>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513"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bl>
    <w:p>
      <w:pPr>
        <w:jc w:val="left"/>
        <w:spacing w:line="360" w:lineRule="auto"/>
        <w:widowControl/>
        <w:rPr>
          <w:rFonts w:ascii="宋体" w:hAnsi="宋体"/>
          <w:b/>
          <w:color w:val="000000" w:themeColor="text1"/>
          <w:highlight w:val="none"/>
          <w14:textFill>
            <w14:solidFill>
              <w14:schemeClr w14:val="tx1"/>
            </w14:solidFill>
          </w14:textFill>
        </w:rPr>
      </w:pPr>
      <w:r/>
      <w:bookmarkStart w:id="583" w:name="_Hlt26955056"/>
      <w:r/>
      <w:bookmarkEnd w:id="583"/>
      <w:r/>
      <w:bookmarkStart w:id="584" w:name="_Hlt26671372"/>
      <w:r/>
      <w:bookmarkEnd w:id="584"/>
      <w:r/>
      <w:bookmarkStart w:id="585" w:name="_Hlt26782999"/>
      <w:r/>
      <w:bookmarkEnd w:id="585"/>
      <w:r/>
      <w:bookmarkStart w:id="586" w:name="_Hlt24879081"/>
      <w:r/>
      <w:bookmarkEnd w:id="586"/>
      <w:r/>
      <w:bookmarkStart w:id="587" w:name="_Hlt26580838"/>
      <w:r/>
      <w:bookmarkEnd w:id="587"/>
      <w:r/>
      <w:bookmarkStart w:id="588" w:name="_Hlt26609391"/>
      <w:r/>
      <w:bookmarkEnd w:id="588"/>
      <w:r/>
      <w:bookmarkStart w:id="589" w:name="_Hlt26955064"/>
      <w:r/>
      <w:bookmarkEnd w:id="589"/>
      <w:r/>
      <w:bookmarkStart w:id="590" w:name="_Hlt26671343"/>
      <w:r/>
      <w:bookmarkEnd w:id="590"/>
      <w:r>
        <w:rPr>
          <w:rFonts w:ascii="宋体" w:hAnsi="宋体"/>
          <w:b/>
          <w:color w:val="000000" w:themeColor="text1"/>
          <w:highlight w:val="none"/>
          <w14:textFill>
            <w14:solidFill>
              <w14:schemeClr w14:val="tx1"/>
            </w14:solidFill>
          </w14:textFill>
        </w:rPr>
        <w:br w:type="page" w:clear="all"/>
      </w:r>
      <w:r/>
    </w:p>
    <w:p>
      <w:pPr>
        <w:jc w:val="center"/>
        <w:spacing w:before="312" w:line="360" w:lineRule="auto"/>
        <w:rPr>
          <w:rFonts w:ascii="宋体" w:hAnsi="宋体"/>
          <w:b/>
          <w:color w:val="000000" w:themeColor="text1"/>
          <w:highlight w:val="none"/>
          <w14:textFill>
            <w14:solidFill>
              <w14:schemeClr w14:val="tx1"/>
            </w14:solidFill>
          </w14:textFill>
        </w:rPr>
        <w:outlineLvl w:val="0"/>
      </w:pPr>
      <w:r/>
      <w:bookmarkStart w:id="591" w:name="_Toc5989"/>
      <w:r/>
      <w:bookmarkStart w:id="592" w:name="_Toc25615"/>
      <w:r>
        <w:rPr>
          <w:rFonts w:hint="eastAsia" w:ascii="宋体" w:hAnsi="宋体"/>
          <w:b/>
          <w:color w:val="000000" w:themeColor="text1"/>
          <w:highlight w:val="none"/>
          <w14:textFill>
            <w14:solidFill>
              <w14:schemeClr w14:val="tx1"/>
            </w14:solidFill>
          </w14:textFill>
        </w:rPr>
        <w:t xml:space="preserve">主要标的信息（成交后将公示）</w:t>
      </w:r>
      <w:bookmarkEnd w:id="591"/>
      <w:r/>
      <w:bookmarkEnd w:id="592"/>
      <w:r/>
      <w:r/>
    </w:p>
    <w:p>
      <w:pPr>
        <w:spacing w:after="312" w:line="360" w:lineRule="auto"/>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供应商全称：</w:t>
      </w:r>
      <w:r/>
    </w:p>
    <w:tbl>
      <w:tblPr>
        <w:tblStyle w:val="9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工程类</w:t>
            </w:r>
            <w:r/>
          </w:p>
        </w:tc>
      </w:tr>
      <w:tr>
        <w:trPr>
          <w:trHeight w:val="3884"/>
        </w:trPr>
        <w:tc>
          <w:tcPr>
            <w:tcW w:w="8149"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施工范围：</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施工工期：</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施工质量要求：</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项目负责人：</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执业证书信息：</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2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幼圆">
    <w:panose1 w:val="020105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6"/>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6"/>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6"/>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pBdr>
        <w:bottom w:val="none" w:color="auto" w:sz="0" w:space="1"/>
      </w:pBdr>
    </w:pPr>
    <w:r/>
    <w:r/>
  </w:p>
  <w:p>
    <w:pPr>
      <w:pStyle w:val="1113"/>
      <w:jc w:val="right"/>
      <w:pBdr>
        <w:bottom w:val="single" w:color="auto" w:sz="4" w:space="0"/>
      </w:pBdr>
    </w:pPr>
    <w:r>
      <w:rPr>
        <w:rFonts w:hint="eastAsia"/>
      </w:rPr>
      <w:t xml:space="preserve">苏合邦筑工程咨询集团股份有限公司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rPr>
        <w:szCs w:val="22"/>
      </w:rPr>
    </w:pPr>
    <w:r/>
    <w:bookmarkStart w:id="593" w:name="_Hlk69393955"/>
    <w:r/>
    <w:bookmarkEnd w:id="593"/>
    <w:r/>
    <w:bookmarkStart w:id="594" w:name="_Hlk69393956"/>
    <w:r/>
    <w:bookmarkEnd w:id="594"/>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2">
    <w:name w:val="Heading 2 Char"/>
    <w:basedOn w:val="917"/>
    <w:link w:val="909"/>
    <w:uiPriority w:val="9"/>
    <w:rPr>
      <w:rFonts w:ascii="Arial" w:hAnsi="Arial" w:eastAsia="Arial" w:cs="Arial"/>
      <w:sz w:val="34"/>
    </w:rPr>
  </w:style>
  <w:style w:type="character" w:styleId="893">
    <w:name w:val="Heading 3 Char"/>
    <w:basedOn w:val="917"/>
    <w:link w:val="910"/>
    <w:uiPriority w:val="9"/>
    <w:rPr>
      <w:rFonts w:ascii="Arial" w:hAnsi="Arial" w:eastAsia="Arial" w:cs="Arial"/>
      <w:sz w:val="30"/>
      <w:szCs w:val="30"/>
    </w:rPr>
  </w:style>
  <w:style w:type="character" w:styleId="894">
    <w:name w:val="Heading 4 Char"/>
    <w:basedOn w:val="917"/>
    <w:link w:val="911"/>
    <w:uiPriority w:val="9"/>
    <w:rPr>
      <w:rFonts w:ascii="Arial" w:hAnsi="Arial" w:eastAsia="Arial" w:cs="Arial"/>
      <w:b/>
      <w:bCs/>
      <w:sz w:val="26"/>
      <w:szCs w:val="26"/>
    </w:rPr>
  </w:style>
  <w:style w:type="character" w:styleId="895">
    <w:name w:val="Heading 5 Char"/>
    <w:basedOn w:val="917"/>
    <w:link w:val="912"/>
    <w:uiPriority w:val="9"/>
    <w:rPr>
      <w:rFonts w:ascii="Arial" w:hAnsi="Arial" w:eastAsia="Arial" w:cs="Arial"/>
      <w:b/>
      <w:bCs/>
      <w:sz w:val="24"/>
      <w:szCs w:val="24"/>
    </w:rPr>
  </w:style>
  <w:style w:type="character" w:styleId="896">
    <w:name w:val="Heading 6 Char"/>
    <w:basedOn w:val="917"/>
    <w:link w:val="913"/>
    <w:uiPriority w:val="9"/>
    <w:rPr>
      <w:rFonts w:ascii="Arial" w:hAnsi="Arial" w:eastAsia="Arial" w:cs="Arial"/>
      <w:b/>
      <w:bCs/>
      <w:sz w:val="22"/>
      <w:szCs w:val="22"/>
    </w:rPr>
  </w:style>
  <w:style w:type="character" w:styleId="897">
    <w:name w:val="Heading 7 Char"/>
    <w:basedOn w:val="917"/>
    <w:link w:val="914"/>
    <w:uiPriority w:val="9"/>
    <w:rPr>
      <w:rFonts w:ascii="Arial" w:hAnsi="Arial" w:eastAsia="Arial" w:cs="Arial"/>
      <w:b/>
      <w:bCs/>
      <w:i/>
      <w:iCs/>
      <w:sz w:val="22"/>
      <w:szCs w:val="22"/>
    </w:rPr>
  </w:style>
  <w:style w:type="character" w:styleId="898">
    <w:name w:val="Heading 8 Char"/>
    <w:basedOn w:val="917"/>
    <w:link w:val="915"/>
    <w:uiPriority w:val="9"/>
    <w:rPr>
      <w:rFonts w:ascii="Arial" w:hAnsi="Arial" w:eastAsia="Arial" w:cs="Arial"/>
      <w:i/>
      <w:iCs/>
      <w:sz w:val="22"/>
      <w:szCs w:val="22"/>
    </w:rPr>
  </w:style>
  <w:style w:type="character" w:styleId="899">
    <w:name w:val="Heading 9 Char"/>
    <w:basedOn w:val="917"/>
    <w:link w:val="916"/>
    <w:uiPriority w:val="9"/>
    <w:rPr>
      <w:rFonts w:ascii="Arial" w:hAnsi="Arial" w:eastAsia="Arial" w:cs="Arial"/>
      <w:i/>
      <w:iCs/>
      <w:sz w:val="21"/>
      <w:szCs w:val="21"/>
    </w:rPr>
  </w:style>
  <w:style w:type="character" w:styleId="900">
    <w:name w:val="Title Char"/>
    <w:basedOn w:val="917"/>
    <w:link w:val="939"/>
    <w:uiPriority w:val="10"/>
    <w:rPr>
      <w:sz w:val="48"/>
      <w:szCs w:val="48"/>
    </w:rPr>
  </w:style>
  <w:style w:type="character" w:styleId="901">
    <w:name w:val="Subtitle Char"/>
    <w:basedOn w:val="917"/>
    <w:link w:val="932"/>
    <w:uiPriority w:val="11"/>
    <w:rPr>
      <w:sz w:val="24"/>
      <w:szCs w:val="24"/>
    </w:rPr>
  </w:style>
  <w:style w:type="character" w:styleId="902">
    <w:name w:val="Quote Char"/>
    <w:link w:val="957"/>
    <w:uiPriority w:val="29"/>
    <w:rPr>
      <w:i/>
    </w:rPr>
  </w:style>
  <w:style w:type="character" w:styleId="903">
    <w:name w:val="Intense Quote Char"/>
    <w:link w:val="959"/>
    <w:uiPriority w:val="30"/>
    <w:rPr>
      <w:i/>
    </w:rPr>
  </w:style>
  <w:style w:type="character" w:styleId="904">
    <w:name w:val="Footnote Text Char"/>
    <w:link w:val="933"/>
    <w:uiPriority w:val="99"/>
    <w:rPr>
      <w:sz w:val="18"/>
    </w:rPr>
  </w:style>
  <w:style w:type="character" w:styleId="905">
    <w:name w:val="Endnote Text Char"/>
    <w:link w:val="926"/>
    <w:uiPriority w:val="99"/>
    <w:rPr>
      <w:sz w:val="20"/>
    </w:rPr>
  </w:style>
  <w:style w:type="paragraph" w:styleId="906">
    <w:name w:val="TOC Heading"/>
    <w:uiPriority w:val="39"/>
    <w:unhideWhenUsed/>
  </w:style>
  <w:style w:type="paragraph" w:styleId="907" w:default="1">
    <w:name w:val="Normal"/>
    <w:next w:val="919"/>
    <w:uiPriority w:val="0"/>
    <w:qFormat/>
    <w:pPr>
      <w:jc w:val="both"/>
      <w:widowControl w:val="off"/>
    </w:pPr>
    <w:rPr>
      <w:rFonts w:ascii="Times New Roman" w:hAnsi="Times New Roman" w:eastAsia="宋体" w:cs="Times New Roman"/>
      <w:sz w:val="21"/>
      <w:szCs w:val="22"/>
      <w:lang w:val="en-US" w:eastAsia="zh-CN" w:bidi="ar-SA"/>
    </w:rPr>
  </w:style>
  <w:style w:type="paragraph" w:styleId="908">
    <w:name w:val="Heading 1"/>
    <w:basedOn w:val="907"/>
    <w:next w:val="907"/>
    <w:uiPriority w:val="1"/>
    <w:qFormat/>
    <w:pPr>
      <w:ind w:right="268"/>
      <w:jc w:val="center"/>
      <w:outlineLvl w:val="0"/>
    </w:pPr>
    <w:rPr>
      <w:rFonts w:ascii="宋体" w:hAnsi="宋体" w:cs="宋体"/>
      <w:b/>
      <w:bCs/>
      <w:sz w:val="36"/>
      <w:szCs w:val="36"/>
    </w:rPr>
  </w:style>
  <w:style w:type="paragraph" w:styleId="909">
    <w:name w:val="Heading 2"/>
    <w:basedOn w:val="907"/>
    <w:next w:val="907"/>
    <w:link w:val="946"/>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07"/>
    <w:link w:val="947"/>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link w:val="948"/>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link w:val="949"/>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950"/>
    <w:uiPriority w:val="9"/>
    <w:unhideWhenUsed/>
    <w:qFormat/>
    <w:pPr>
      <w:keepLines/>
      <w:keepNext/>
      <w:spacing w:before="320" w:after="200"/>
      <w:outlineLvl w:val="5"/>
    </w:pPr>
    <w:rPr>
      <w:rFonts w:ascii="Arial" w:hAnsi="Arial" w:eastAsia="Arial" w:cs="Arial"/>
      <w:b/>
      <w:bCs/>
      <w:sz w:val="22"/>
    </w:rPr>
  </w:style>
  <w:style w:type="paragraph" w:styleId="914">
    <w:name w:val="Heading 7"/>
    <w:basedOn w:val="907"/>
    <w:next w:val="907"/>
    <w:link w:val="951"/>
    <w:uiPriority w:val="9"/>
    <w:unhideWhenUsed/>
    <w:qFormat/>
    <w:pPr>
      <w:keepLines/>
      <w:keepNext/>
      <w:spacing w:before="320" w:after="200"/>
      <w:outlineLvl w:val="6"/>
    </w:pPr>
    <w:rPr>
      <w:rFonts w:ascii="Arial" w:hAnsi="Arial" w:eastAsia="Arial" w:cs="Arial"/>
      <w:b/>
      <w:bCs/>
      <w:i/>
      <w:iCs/>
      <w:sz w:val="22"/>
    </w:rPr>
  </w:style>
  <w:style w:type="paragraph" w:styleId="915">
    <w:name w:val="Heading 8"/>
    <w:basedOn w:val="907"/>
    <w:next w:val="907"/>
    <w:link w:val="952"/>
    <w:uiPriority w:val="9"/>
    <w:unhideWhenUsed/>
    <w:qFormat/>
    <w:pPr>
      <w:keepLines/>
      <w:keepNext/>
      <w:spacing w:before="320" w:after="200"/>
      <w:outlineLvl w:val="7"/>
    </w:pPr>
    <w:rPr>
      <w:rFonts w:ascii="Arial" w:hAnsi="Arial" w:eastAsia="Arial" w:cs="Arial"/>
      <w:i/>
      <w:iCs/>
      <w:sz w:val="22"/>
    </w:rPr>
  </w:style>
  <w:style w:type="paragraph" w:styleId="916">
    <w:name w:val="Heading 9"/>
    <w:basedOn w:val="907"/>
    <w:next w:val="907"/>
    <w:link w:val="953"/>
    <w:uiPriority w:val="9"/>
    <w:unhideWhenUsed/>
    <w:qFormat/>
    <w:pPr>
      <w:keepLines/>
      <w:keepNext/>
      <w:spacing w:before="320" w:after="200"/>
      <w:outlineLvl w:val="8"/>
    </w:pPr>
    <w:rPr>
      <w:rFonts w:ascii="Arial" w:hAnsi="Arial" w:eastAsia="Arial" w:cs="Arial"/>
      <w:i/>
      <w:iCs/>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index 4"/>
    <w:basedOn w:val="907"/>
    <w:next w:val="907"/>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920">
    <w:name w:val="toc 7"/>
    <w:basedOn w:val="907"/>
    <w:next w:val="907"/>
    <w:uiPriority w:val="39"/>
    <w:unhideWhenUsed/>
    <w:qFormat/>
    <w:pPr>
      <w:ind w:left="1701"/>
      <w:spacing w:after="57"/>
    </w:pPr>
  </w:style>
  <w:style w:type="paragraph" w:styleId="921">
    <w:name w:val="Caption"/>
    <w:basedOn w:val="907"/>
    <w:next w:val="90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22">
    <w:name w:val="Body Text"/>
    <w:basedOn w:val="907"/>
    <w:uiPriority w:val="1"/>
    <w:qFormat/>
    <w:pPr>
      <w:ind w:left="580"/>
    </w:pPr>
    <w:rPr>
      <w:rFonts w:ascii="宋体" w:hAnsi="宋体" w:cs="宋体"/>
      <w:szCs w:val="21"/>
    </w:rPr>
  </w:style>
  <w:style w:type="paragraph" w:styleId="923">
    <w:name w:val="toc 5"/>
    <w:basedOn w:val="907"/>
    <w:next w:val="907"/>
    <w:uiPriority w:val="39"/>
    <w:unhideWhenUsed/>
    <w:qFormat/>
    <w:pPr>
      <w:ind w:left="1134"/>
      <w:spacing w:after="57"/>
    </w:pPr>
  </w:style>
  <w:style w:type="paragraph" w:styleId="924">
    <w:name w:val="toc 3"/>
    <w:basedOn w:val="907"/>
    <w:next w:val="907"/>
    <w:uiPriority w:val="39"/>
    <w:unhideWhenUsed/>
    <w:qFormat/>
    <w:pPr>
      <w:ind w:left="567"/>
      <w:spacing w:after="57"/>
    </w:pPr>
  </w:style>
  <w:style w:type="paragraph" w:styleId="925">
    <w:name w:val="toc 8"/>
    <w:basedOn w:val="907"/>
    <w:next w:val="907"/>
    <w:uiPriority w:val="39"/>
    <w:unhideWhenUsed/>
    <w:qFormat/>
    <w:pPr>
      <w:ind w:left="1984"/>
      <w:spacing w:after="57"/>
    </w:pPr>
  </w:style>
  <w:style w:type="paragraph" w:styleId="926">
    <w:name w:val="endnote text"/>
    <w:basedOn w:val="907"/>
    <w:link w:val="1090"/>
    <w:uiPriority w:val="99"/>
    <w:semiHidden/>
    <w:unhideWhenUsed/>
    <w:qFormat/>
    <w:rPr>
      <w:sz w:val="20"/>
    </w:rPr>
  </w:style>
  <w:style w:type="paragraph" w:styleId="927">
    <w:name w:val="Balloon Text"/>
    <w:basedOn w:val="907"/>
    <w:link w:val="1124"/>
    <w:uiPriority w:val="99"/>
    <w:semiHidden/>
    <w:unhideWhenUsed/>
    <w:qFormat/>
    <w:rPr>
      <w:sz w:val="18"/>
      <w:szCs w:val="18"/>
    </w:rPr>
  </w:style>
  <w:style w:type="paragraph" w:styleId="928">
    <w:name w:val="Footer"/>
    <w:basedOn w:val="907"/>
    <w:uiPriority w:val="0"/>
    <w:qFormat/>
    <w:pPr>
      <w:jc w:val="left"/>
      <w:tabs>
        <w:tab w:val="center" w:pos="4153" w:leader="none"/>
        <w:tab w:val="right" w:pos="8306" w:leader="none"/>
      </w:tabs>
    </w:pPr>
    <w:rPr>
      <w:sz w:val="18"/>
    </w:rPr>
  </w:style>
  <w:style w:type="paragraph" w:styleId="929">
    <w:name w:val="Header"/>
    <w:basedOn w:val="90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0">
    <w:name w:val="toc 1"/>
    <w:basedOn w:val="907"/>
    <w:uiPriority w:val="1"/>
    <w:qFormat/>
    <w:pPr>
      <w:ind w:right="302"/>
      <w:jc w:val="center"/>
      <w:spacing w:before="3"/>
    </w:pPr>
    <w:rPr>
      <w:rFonts w:ascii="宋体" w:hAnsi="宋体" w:cs="宋体"/>
      <w:sz w:val="28"/>
      <w:szCs w:val="28"/>
    </w:rPr>
  </w:style>
  <w:style w:type="paragraph" w:styleId="931">
    <w:name w:val="toc 4"/>
    <w:basedOn w:val="907"/>
    <w:next w:val="907"/>
    <w:uiPriority w:val="39"/>
    <w:unhideWhenUsed/>
    <w:qFormat/>
    <w:pPr>
      <w:ind w:left="850"/>
      <w:spacing w:after="57"/>
    </w:pPr>
  </w:style>
  <w:style w:type="paragraph" w:styleId="932">
    <w:name w:val="Subtitle"/>
    <w:basedOn w:val="907"/>
    <w:next w:val="907"/>
    <w:link w:val="956"/>
    <w:uiPriority w:val="11"/>
    <w:qFormat/>
    <w:pPr>
      <w:spacing w:before="200" w:after="200"/>
    </w:pPr>
    <w:rPr>
      <w:sz w:val="24"/>
      <w:szCs w:val="24"/>
    </w:rPr>
  </w:style>
  <w:style w:type="paragraph" w:styleId="933">
    <w:name w:val="footnote text"/>
    <w:basedOn w:val="907"/>
    <w:link w:val="1089"/>
    <w:uiPriority w:val="99"/>
    <w:semiHidden/>
    <w:unhideWhenUsed/>
    <w:qFormat/>
    <w:pPr>
      <w:spacing w:after="40"/>
    </w:pPr>
    <w:rPr>
      <w:sz w:val="18"/>
    </w:rPr>
  </w:style>
  <w:style w:type="paragraph" w:styleId="934">
    <w:name w:val="toc 6"/>
    <w:basedOn w:val="907"/>
    <w:next w:val="907"/>
    <w:uiPriority w:val="39"/>
    <w:unhideWhenUsed/>
    <w:qFormat/>
    <w:pPr>
      <w:ind w:left="1417"/>
      <w:spacing w:after="57"/>
    </w:pPr>
  </w:style>
  <w:style w:type="paragraph" w:styleId="935">
    <w:name w:val="table of figures"/>
    <w:basedOn w:val="907"/>
    <w:next w:val="907"/>
    <w:uiPriority w:val="99"/>
    <w:unhideWhenUsed/>
    <w:qFormat/>
  </w:style>
  <w:style w:type="paragraph" w:styleId="936">
    <w:name w:val="toc 2"/>
    <w:basedOn w:val="907"/>
    <w:next w:val="907"/>
    <w:uiPriority w:val="39"/>
    <w:unhideWhenUsed/>
    <w:qFormat/>
    <w:pPr>
      <w:ind w:left="283"/>
      <w:spacing w:after="57"/>
    </w:pPr>
  </w:style>
  <w:style w:type="paragraph" w:styleId="937">
    <w:name w:val="toc 9"/>
    <w:basedOn w:val="907"/>
    <w:next w:val="907"/>
    <w:uiPriority w:val="39"/>
    <w:unhideWhenUsed/>
    <w:qFormat/>
    <w:pPr>
      <w:ind w:left="2268"/>
      <w:spacing w:after="57"/>
    </w:pPr>
  </w:style>
  <w:style w:type="paragraph" w:styleId="938">
    <w:name w:val="Normal (Web)"/>
    <w:basedOn w:val="907"/>
    <w:uiPriority w:val="0"/>
    <w:qFormat/>
    <w:rPr>
      <w:sz w:val="24"/>
    </w:rPr>
  </w:style>
  <w:style w:type="paragraph" w:styleId="939">
    <w:name w:val="Title"/>
    <w:basedOn w:val="907"/>
    <w:next w:val="907"/>
    <w:link w:val="955"/>
    <w:uiPriority w:val="10"/>
    <w:qFormat/>
    <w:pPr>
      <w:contextualSpacing/>
      <w:spacing w:before="300" w:after="200"/>
    </w:pPr>
    <w:rPr>
      <w:sz w:val="48"/>
      <w:szCs w:val="48"/>
    </w:rPr>
  </w:style>
  <w:style w:type="table" w:styleId="940">
    <w:name w:val="Table Grid"/>
    <w:basedOn w:val="9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Strong"/>
    <w:basedOn w:val="917"/>
    <w:uiPriority w:val="0"/>
    <w:qFormat/>
    <w:rPr>
      <w:b/>
    </w:rPr>
  </w:style>
  <w:style w:type="character" w:styleId="942">
    <w:name w:val="endnote reference"/>
    <w:basedOn w:val="917"/>
    <w:uiPriority w:val="99"/>
    <w:semiHidden/>
    <w:unhideWhenUsed/>
    <w:qFormat/>
    <w:rPr>
      <w:vertAlign w:val="superscript"/>
    </w:rPr>
  </w:style>
  <w:style w:type="character" w:styleId="943">
    <w:name w:val="Hyperlink"/>
    <w:uiPriority w:val="99"/>
    <w:unhideWhenUsed/>
    <w:qFormat/>
    <w:rPr>
      <w:color w:val="0026e5" w:themeColor="hyperlink"/>
      <w:u w:val="single"/>
      <w14:textFill>
        <w14:solidFill>
          <w14:schemeClr w14:val="hlink"/>
        </w14:solidFill>
      </w14:textFill>
    </w:rPr>
  </w:style>
  <w:style w:type="character" w:styleId="944">
    <w:name w:val="footnote reference"/>
    <w:basedOn w:val="917"/>
    <w:uiPriority w:val="99"/>
    <w:unhideWhenUsed/>
    <w:qFormat/>
    <w:rPr>
      <w:vertAlign w:val="superscript"/>
    </w:rPr>
  </w:style>
  <w:style w:type="character" w:styleId="945" w:customStyle="1">
    <w:name w:val="Heading 1 Char"/>
    <w:basedOn w:val="917"/>
    <w:uiPriority w:val="9"/>
    <w:qFormat/>
    <w:rPr>
      <w:rFonts w:ascii="Arial" w:hAnsi="Arial" w:eastAsia="Arial" w:cs="Arial"/>
      <w:sz w:val="40"/>
      <w:szCs w:val="40"/>
    </w:rPr>
  </w:style>
  <w:style w:type="character" w:styleId="946" w:customStyle="1">
    <w:name w:val="标题 2 Char"/>
    <w:basedOn w:val="917"/>
    <w:link w:val="909"/>
    <w:uiPriority w:val="9"/>
    <w:qFormat/>
    <w:rPr>
      <w:rFonts w:ascii="Arial" w:hAnsi="Arial" w:eastAsia="Arial" w:cs="Arial"/>
      <w:sz w:val="34"/>
    </w:rPr>
  </w:style>
  <w:style w:type="character" w:styleId="947" w:customStyle="1">
    <w:name w:val="标题 3 Char"/>
    <w:basedOn w:val="917"/>
    <w:link w:val="910"/>
    <w:uiPriority w:val="9"/>
    <w:qFormat/>
    <w:rPr>
      <w:rFonts w:ascii="Arial" w:hAnsi="Arial" w:eastAsia="Arial" w:cs="Arial"/>
      <w:sz w:val="30"/>
      <w:szCs w:val="30"/>
    </w:rPr>
  </w:style>
  <w:style w:type="character" w:styleId="948" w:customStyle="1">
    <w:name w:val="标题 4 Char"/>
    <w:basedOn w:val="917"/>
    <w:link w:val="911"/>
    <w:uiPriority w:val="9"/>
    <w:qFormat/>
    <w:rPr>
      <w:rFonts w:ascii="Arial" w:hAnsi="Arial" w:eastAsia="Arial" w:cs="Arial"/>
      <w:b/>
      <w:bCs/>
      <w:sz w:val="26"/>
      <w:szCs w:val="26"/>
    </w:rPr>
  </w:style>
  <w:style w:type="character" w:styleId="949" w:customStyle="1">
    <w:name w:val="标题 5 Char"/>
    <w:basedOn w:val="917"/>
    <w:link w:val="912"/>
    <w:uiPriority w:val="9"/>
    <w:qFormat/>
    <w:rPr>
      <w:rFonts w:ascii="Arial" w:hAnsi="Arial" w:eastAsia="Arial" w:cs="Arial"/>
      <w:b/>
      <w:bCs/>
      <w:sz w:val="24"/>
      <w:szCs w:val="24"/>
    </w:rPr>
  </w:style>
  <w:style w:type="character" w:styleId="950" w:customStyle="1">
    <w:name w:val="标题 6 Char"/>
    <w:basedOn w:val="917"/>
    <w:link w:val="913"/>
    <w:uiPriority w:val="9"/>
    <w:qFormat/>
    <w:rPr>
      <w:rFonts w:ascii="Arial" w:hAnsi="Arial" w:eastAsia="Arial" w:cs="Arial"/>
      <w:b/>
      <w:bCs/>
      <w:sz w:val="22"/>
      <w:szCs w:val="22"/>
    </w:rPr>
  </w:style>
  <w:style w:type="character" w:styleId="951" w:customStyle="1">
    <w:name w:val="标题 7 Char"/>
    <w:basedOn w:val="917"/>
    <w:link w:val="914"/>
    <w:uiPriority w:val="9"/>
    <w:qFormat/>
    <w:rPr>
      <w:rFonts w:ascii="Arial" w:hAnsi="Arial" w:eastAsia="Arial" w:cs="Arial"/>
      <w:b/>
      <w:bCs/>
      <w:i/>
      <w:iCs/>
      <w:sz w:val="22"/>
      <w:szCs w:val="22"/>
    </w:rPr>
  </w:style>
  <w:style w:type="character" w:styleId="952" w:customStyle="1">
    <w:name w:val="标题 8 Char"/>
    <w:basedOn w:val="917"/>
    <w:link w:val="915"/>
    <w:uiPriority w:val="9"/>
    <w:qFormat/>
    <w:rPr>
      <w:rFonts w:ascii="Arial" w:hAnsi="Arial" w:eastAsia="Arial" w:cs="Arial"/>
      <w:i/>
      <w:iCs/>
      <w:sz w:val="22"/>
      <w:szCs w:val="22"/>
    </w:rPr>
  </w:style>
  <w:style w:type="character" w:styleId="953" w:customStyle="1">
    <w:name w:val="标题 9 Char"/>
    <w:basedOn w:val="917"/>
    <w:link w:val="916"/>
    <w:uiPriority w:val="9"/>
    <w:qFormat/>
    <w:rPr>
      <w:rFonts w:ascii="Arial" w:hAnsi="Arial" w:eastAsia="Arial" w:cs="Arial"/>
      <w:i/>
      <w:iCs/>
      <w:sz w:val="21"/>
      <w:szCs w:val="21"/>
    </w:rPr>
  </w:style>
  <w:style w:type="paragraph" w:styleId="954">
    <w:name w:val="No Spacing"/>
    <w:uiPriority w:val="1"/>
    <w:qFormat/>
    <w:rPr>
      <w:rFonts w:ascii="Times New Roman" w:hAnsi="Times New Roman" w:eastAsia="宋体" w:cs="Times New Roman"/>
      <w:lang w:val="en-US" w:eastAsia="zh-CN" w:bidi="ar-SA"/>
    </w:rPr>
  </w:style>
  <w:style w:type="character" w:styleId="955" w:customStyle="1">
    <w:name w:val="标题 Char"/>
    <w:basedOn w:val="917"/>
    <w:link w:val="939"/>
    <w:uiPriority w:val="10"/>
    <w:qFormat/>
    <w:rPr>
      <w:sz w:val="48"/>
      <w:szCs w:val="48"/>
    </w:rPr>
  </w:style>
  <w:style w:type="character" w:styleId="956" w:customStyle="1">
    <w:name w:val="副标题 Char"/>
    <w:basedOn w:val="917"/>
    <w:link w:val="932"/>
    <w:uiPriority w:val="11"/>
    <w:qFormat/>
    <w:rPr>
      <w:sz w:val="24"/>
      <w:szCs w:val="24"/>
    </w:rPr>
  </w:style>
  <w:style w:type="paragraph" w:styleId="957">
    <w:name w:val="Quote"/>
    <w:basedOn w:val="907"/>
    <w:next w:val="907"/>
    <w:link w:val="958"/>
    <w:uiPriority w:val="29"/>
    <w:qFormat/>
    <w:pPr>
      <w:ind w:left="720" w:right="720"/>
    </w:pPr>
    <w:rPr>
      <w:i/>
    </w:rPr>
  </w:style>
  <w:style w:type="character" w:styleId="958" w:customStyle="1">
    <w:name w:val="引用 Char"/>
    <w:link w:val="957"/>
    <w:uiPriority w:val="29"/>
    <w:qFormat/>
    <w:rPr>
      <w:i/>
    </w:rPr>
  </w:style>
  <w:style w:type="paragraph" w:styleId="959">
    <w:name w:val="Intense Quote"/>
    <w:basedOn w:val="907"/>
    <w:next w:val="907"/>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Char"/>
    <w:link w:val="959"/>
    <w:uiPriority w:val="30"/>
    <w:qFormat/>
    <w:rPr>
      <w:i/>
    </w:rPr>
  </w:style>
  <w:style w:type="character" w:styleId="961" w:customStyle="1">
    <w:name w:val="Header Char"/>
    <w:basedOn w:val="917"/>
    <w:uiPriority w:val="99"/>
    <w:qFormat/>
  </w:style>
  <w:style w:type="character" w:styleId="962" w:customStyle="1">
    <w:name w:val="Footer Char"/>
    <w:basedOn w:val="917"/>
    <w:uiPriority w:val="99"/>
    <w:qFormat/>
  </w:style>
  <w:style w:type="character" w:styleId="963" w:customStyle="1">
    <w:name w:val="Caption Char"/>
    <w:uiPriority w:val="99"/>
    <w:qFormat/>
  </w:style>
  <w:style w:type="table" w:styleId="964" w:customStyle="1">
    <w:name w:val="Table Grid Light"/>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5" w:customStyle="1">
    <w:name w:val="Plain Table 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basedOn w:val="91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basedOn w:val="91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basedOn w:val="91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Grid Table 1 Light"/>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1"/>
    <w:basedOn w:val="91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basedOn w:val="91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basedOn w:val="91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basedOn w:val="91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basedOn w:val="91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basedOn w:val="91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Grid Table 2 - Accent 1"/>
    <w:basedOn w:val="91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79" w:customStyle="1">
    <w:name w:val="Grid Table 2 - Accent 2"/>
    <w:basedOn w:val="91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80" w:customStyle="1">
    <w:name w:val="Grid Table 2 - Accent 3"/>
    <w:basedOn w:val="91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81" w:customStyle="1">
    <w:name w:val="Grid Table 2 - Accent 4"/>
    <w:basedOn w:val="91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82" w:customStyle="1">
    <w:name w:val="Grid Table 2 - Accent 5"/>
    <w:basedOn w:val="918"/>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83" w:customStyle="1">
    <w:name w:val="Grid Table 2 - Accent 6"/>
    <w:basedOn w:val="918"/>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84" w:customStyle="1">
    <w:name w:val="Grid Table 3"/>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1"/>
    <w:basedOn w:val="91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2"/>
    <w:basedOn w:val="91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3"/>
    <w:basedOn w:val="91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4"/>
    <w:basedOn w:val="91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5"/>
    <w:basedOn w:val="918"/>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6"/>
    <w:basedOn w:val="918"/>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4"/>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customStyle="1">
    <w:name w:val="Grid Table 4 - Accent 1"/>
    <w:basedOn w:val="91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93" w:customStyle="1">
    <w:name w:val="Grid Table 4 - Accent 2"/>
    <w:basedOn w:val="91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94" w:customStyle="1">
    <w:name w:val="Grid Table 4 - Accent 3"/>
    <w:basedOn w:val="91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95" w:customStyle="1">
    <w:name w:val="Grid Table 4 - Accent 4"/>
    <w:basedOn w:val="91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96" w:customStyle="1">
    <w:name w:val="Grid Table 4 - Accent 5"/>
    <w:basedOn w:val="91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97" w:customStyle="1">
    <w:name w:val="Grid Table 4 - Accent 6"/>
    <w:basedOn w:val="91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98" w:customStyle="1">
    <w:name w:val="Grid Table 5 Dark"/>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Grid Table 5 Dark- Accent 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00" w:customStyle="1">
    <w:name w:val="Grid Table 5 Dark - Accent 2"/>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01" w:customStyle="1">
    <w:name w:val="Grid Table 5 Dark - Accent 3"/>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02" w:customStyle="1">
    <w:name w:val="Grid Table 5 Dark- Accent 4"/>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03" w:customStyle="1">
    <w:name w:val="Grid Table 5 Dark - Accent 5"/>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04" w:customStyle="1">
    <w:name w:val="Grid Table 5 Dark - Accent 6"/>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05" w:customStyle="1">
    <w:name w:val="Grid Table 6 Colorful"/>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6" w:customStyle="1">
    <w:name w:val="Grid Table 6 Colorful - Accent 1"/>
    <w:basedOn w:val="91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07" w:customStyle="1">
    <w:name w:val="Grid Table 6 Colorful - Accent 2"/>
    <w:basedOn w:val="91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08" w:customStyle="1">
    <w:name w:val="Grid Table 6 Colorful - Accent 3"/>
    <w:basedOn w:val="91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09" w:customStyle="1">
    <w:name w:val="Grid Table 6 Colorful - Accent 4"/>
    <w:basedOn w:val="91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10" w:customStyle="1">
    <w:name w:val="Grid Table 6 Colorful - Accent 5"/>
    <w:basedOn w:val="91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1" w:customStyle="1">
    <w:name w:val="Grid Table 6 Colorful - Accent 6"/>
    <w:basedOn w:val="91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2" w:customStyle="1">
    <w:name w:val="Grid Table 7 Colorful"/>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Grid Table 7 Colorful - Accent 1"/>
    <w:basedOn w:val="91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basedOn w:val="91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basedOn w:val="91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basedOn w:val="91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basedOn w:val="91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basedOn w:val="91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w:basedOn w:val="91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customStyle="1">
    <w:name w:val="List Table 1 Light - Accent 1"/>
    <w:basedOn w:val="918"/>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basedOn w:val="918"/>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basedOn w:val="918"/>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basedOn w:val="918"/>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basedOn w:val="918"/>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basedOn w:val="918"/>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26" w:customStyle="1">
    <w:name w:val="List Table 2"/>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2 - Accent 1"/>
    <w:basedOn w:val="91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28" w:customStyle="1">
    <w:name w:val="List Table 2 - Accent 2"/>
    <w:basedOn w:val="91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29" w:customStyle="1">
    <w:name w:val="List Table 2 - Accent 3"/>
    <w:basedOn w:val="91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30" w:customStyle="1">
    <w:name w:val="List Table 2 - Accent 4"/>
    <w:basedOn w:val="91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31" w:customStyle="1">
    <w:name w:val="List Table 2 - Accent 5"/>
    <w:basedOn w:val="91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32" w:customStyle="1">
    <w:name w:val="List Table 2 - Accent 6"/>
    <w:basedOn w:val="91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33" w:customStyle="1">
    <w:name w:val="List Table 3"/>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3 - Accent 1"/>
    <w:basedOn w:val="91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5" w:customStyle="1">
    <w:name w:val="List Table 3 - Accent 2"/>
    <w:basedOn w:val="91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36" w:customStyle="1">
    <w:name w:val="List Table 3 - Accent 3"/>
    <w:basedOn w:val="91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37" w:customStyle="1">
    <w:name w:val="List Table 3 - Accent 4"/>
    <w:basedOn w:val="91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38" w:customStyle="1">
    <w:name w:val="List Table 3 - Accent 5"/>
    <w:basedOn w:val="91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39" w:customStyle="1">
    <w:name w:val="List Table 3 - Accent 6"/>
    <w:basedOn w:val="91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40" w:customStyle="1">
    <w:name w:val="List Table 4"/>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4 - Accent 1"/>
    <w:basedOn w:val="91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2" w:customStyle="1">
    <w:name w:val="List Table 4 - Accent 2"/>
    <w:basedOn w:val="91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43" w:customStyle="1">
    <w:name w:val="List Table 4 - Accent 3"/>
    <w:basedOn w:val="91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44" w:customStyle="1">
    <w:name w:val="List Table 4 - Accent 4"/>
    <w:basedOn w:val="91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45" w:customStyle="1">
    <w:name w:val="List Table 4 - Accent 5"/>
    <w:basedOn w:val="91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46" w:customStyle="1">
    <w:name w:val="List Table 4 - Accent 6"/>
    <w:basedOn w:val="91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47" w:customStyle="1">
    <w:name w:val="List Table 5 Dark"/>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1"/>
    <w:basedOn w:val="91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basedOn w:val="91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basedOn w:val="91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basedOn w:val="91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basedOn w:val="91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basedOn w:val="91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6 Colorful"/>
    <w:basedOn w:val="91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5" w:customStyle="1">
    <w:name w:val="List Table 6 Colorful - Accent 1"/>
    <w:basedOn w:val="918"/>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56" w:customStyle="1">
    <w:name w:val="List Table 6 Colorful - Accent 2"/>
    <w:basedOn w:val="918"/>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57" w:customStyle="1">
    <w:name w:val="List Table 6 Colorful - Accent 3"/>
    <w:basedOn w:val="918"/>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58" w:customStyle="1">
    <w:name w:val="List Table 6 Colorful - Accent 4"/>
    <w:basedOn w:val="918"/>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59" w:customStyle="1">
    <w:name w:val="List Table 6 Colorful - Accent 5"/>
    <w:basedOn w:val="918"/>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60" w:customStyle="1">
    <w:name w:val="List Table 6 Colorful - Accent 6"/>
    <w:basedOn w:val="918"/>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61" w:customStyle="1">
    <w:name w:val="List Table 7 Colorful"/>
    <w:basedOn w:val="91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7 Colorful - Accent 1"/>
    <w:basedOn w:val="918"/>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basedOn w:val="918"/>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basedOn w:val="918"/>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basedOn w:val="918"/>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basedOn w:val="918"/>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basedOn w:val="918"/>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68" w:customStyle="1">
    <w:name w:val="Lined - Accent"/>
    <w:basedOn w:val="9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basedOn w:val="9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0" w:customStyle="1">
    <w:name w:val="Lined - Accent 2"/>
    <w:basedOn w:val="9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1" w:customStyle="1">
    <w:name w:val="Lined - Accent 3"/>
    <w:basedOn w:val="9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2" w:customStyle="1">
    <w:name w:val="Lined - Accent 4"/>
    <w:basedOn w:val="9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3" w:customStyle="1">
    <w:name w:val="Lined - Accent 5"/>
    <w:basedOn w:val="9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4" w:customStyle="1">
    <w:name w:val="Lined - Accent 6"/>
    <w:basedOn w:val="9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5" w:customStyle="1">
    <w:name w:val="Bordered &amp; Lined - Accent"/>
    <w:basedOn w:val="9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basedOn w:val="91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7" w:customStyle="1">
    <w:name w:val="Bordered &amp; Lined - Accent 2"/>
    <w:basedOn w:val="91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8" w:customStyle="1">
    <w:name w:val="Bordered &amp; Lined - Accent 3"/>
    <w:basedOn w:val="91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9" w:customStyle="1">
    <w:name w:val="Bordered &amp; Lined - Accent 4"/>
    <w:basedOn w:val="91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0" w:customStyle="1">
    <w:name w:val="Bordered &amp; Lined - Accent 5"/>
    <w:basedOn w:val="91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1" w:customStyle="1">
    <w:name w:val="Bordered &amp; Lined - Accent 6"/>
    <w:basedOn w:val="91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82" w:customStyle="1">
    <w:name w:val="Bordered"/>
    <w:basedOn w:val="9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basedOn w:val="91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84" w:customStyle="1">
    <w:name w:val="Bordered - Accent 2"/>
    <w:basedOn w:val="91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85" w:customStyle="1">
    <w:name w:val="Bordered - Accent 3"/>
    <w:basedOn w:val="91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86" w:customStyle="1">
    <w:name w:val="Bordered - Accent 4"/>
    <w:basedOn w:val="91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87" w:customStyle="1">
    <w:name w:val="Bordered - Accent 5"/>
    <w:basedOn w:val="91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88" w:customStyle="1">
    <w:name w:val="Bordered - Accent 6"/>
    <w:basedOn w:val="91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89" w:customStyle="1">
    <w:name w:val="脚注文本 Char"/>
    <w:link w:val="933"/>
    <w:uiPriority w:val="99"/>
    <w:qFormat/>
    <w:rPr>
      <w:sz w:val="18"/>
    </w:rPr>
  </w:style>
  <w:style w:type="character" w:styleId="1090" w:customStyle="1">
    <w:name w:val="尾注文本 Char"/>
    <w:link w:val="926"/>
    <w:uiPriority w:val="99"/>
    <w:qFormat/>
    <w:rPr>
      <w:sz w:val="20"/>
    </w:rPr>
  </w:style>
  <w:style w:type="paragraph" w:styleId="1091" w:customStyle="1">
    <w:name w:val="TOC 标题1"/>
    <w:uiPriority w:val="39"/>
    <w:unhideWhenUsed/>
    <w:qFormat/>
    <w:rPr>
      <w:rFonts w:ascii="Times New Roman" w:hAnsi="Times New Roman" w:eastAsia="宋体" w:cs="Times New Roman"/>
      <w:lang w:val="en-US" w:eastAsia="zh-CN" w:bidi="ar-SA"/>
    </w:rPr>
  </w:style>
  <w:style w:type="paragraph" w:styleId="1092" w:customStyle="1">
    <w:name w:val="正文（缩进）"/>
    <w:basedOn w:val="907"/>
    <w:uiPriority w:val="0"/>
    <w:qFormat/>
    <w:pPr>
      <w:ind w:firstLine="480"/>
    </w:pPr>
    <w:rPr>
      <w:rFonts w:ascii="Calibri" w:hAnsi="Calibri"/>
      <w:szCs w:val="24"/>
    </w:rPr>
  </w:style>
  <w:style w:type="paragraph" w:styleId="1093" w:customStyle="1">
    <w:name w:val="索引 41"/>
    <w:basedOn w:val="907"/>
    <w:next w:val="907"/>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rPr>
  </w:style>
  <w:style w:type="paragraph" w:styleId="1094" w:customStyle="1">
    <w:name w:val="标题 31"/>
    <w:basedOn w:val="907"/>
    <w:next w:val="907"/>
    <w:uiPriority w:val="0"/>
    <w:qFormat/>
    <w:pPr>
      <w:keepLines/>
      <w:keepNext/>
      <w:spacing w:before="260" w:after="260" w:line="416" w:lineRule="auto"/>
      <w:outlineLvl w:val="2"/>
    </w:pPr>
    <w:rPr>
      <w:rFonts w:ascii="Calibri" w:hAnsi="Calibri"/>
      <w:b/>
      <w:bCs/>
      <w:sz w:val="32"/>
      <w:szCs w:val="32"/>
    </w:rPr>
  </w:style>
  <w:style w:type="paragraph" w:styleId="1095" w:customStyle="1">
    <w:name w:val="目录 11"/>
    <w:basedOn w:val="907"/>
    <w:next w:val="907"/>
    <w:uiPriority w:val="39"/>
    <w:unhideWhenUsed/>
    <w:qFormat/>
    <w:rPr>
      <w:rFonts w:ascii="Calibri" w:hAnsi="Calibri"/>
    </w:rPr>
  </w:style>
  <w:style w:type="paragraph" w:styleId="1096" w:customStyle="1">
    <w:name w:val="标题 11"/>
    <w:basedOn w:val="907"/>
    <w:next w:val="907"/>
    <w:uiPriority w:val="99"/>
    <w:qFormat/>
    <w:pPr>
      <w:keepLines/>
      <w:keepNext/>
      <w:spacing w:before="340" w:after="330" w:line="578" w:lineRule="auto"/>
      <w:outlineLvl w:val="0"/>
    </w:pPr>
    <w:rPr>
      <w:rFonts w:ascii="Calibri" w:hAnsi="Calibri"/>
      <w:b/>
      <w:bCs/>
      <w:sz w:val="44"/>
      <w:szCs w:val="44"/>
    </w:rPr>
  </w:style>
  <w:style w:type="paragraph" w:styleId="1097" w:customStyle="1">
    <w:name w:val="标题 21"/>
    <w:basedOn w:val="907"/>
    <w:next w:val="1098"/>
    <w:uiPriority w:val="9"/>
    <w:qFormat/>
    <w:pPr>
      <w:keepLines/>
      <w:keepNext/>
      <w:spacing w:before="260" w:after="260" w:line="416" w:lineRule="auto"/>
      <w:outlineLvl w:val="1"/>
    </w:pPr>
    <w:rPr>
      <w:rFonts w:ascii="Cambria" w:hAnsi="Cambria"/>
      <w:b/>
      <w:bCs/>
      <w:sz w:val="32"/>
      <w:szCs w:val="32"/>
    </w:rPr>
  </w:style>
  <w:style w:type="paragraph" w:styleId="1098" w:customStyle="1">
    <w:name w:val="正文缩进1"/>
    <w:basedOn w:val="907"/>
    <w:uiPriority w:val="0"/>
    <w:unhideWhenUsed/>
    <w:qFormat/>
    <w:pPr>
      <w:ind w:firstLine="420"/>
    </w:pPr>
    <w:rPr>
      <w:rFonts w:ascii="Calibri" w:hAnsi="Calibri"/>
    </w:rPr>
  </w:style>
  <w:style w:type="paragraph" w:styleId="1099" w:customStyle="1">
    <w:name w:val="纯文本11"/>
    <w:basedOn w:val="907"/>
    <w:uiPriority w:val="99"/>
    <w:unhideWhenUsed/>
    <w:qFormat/>
    <w:rPr>
      <w:rFonts w:ascii="宋体" w:hAnsi="Courier New"/>
      <w:sz w:val="20"/>
      <w:szCs w:val="20"/>
    </w:rPr>
  </w:style>
  <w:style w:type="paragraph" w:styleId="1100" w:customStyle="1">
    <w:name w:val="_Style 4"/>
    <w:next w:val="907"/>
    <w:uiPriority w:val="0"/>
    <w:qFormat/>
    <w:pPr>
      <w:jc w:val="both"/>
      <w:keepLines/>
      <w:keepNext/>
      <w:spacing w:before="340" w:after="330" w:line="578" w:lineRule="auto"/>
      <w:widowControl w:val="off"/>
    </w:pPr>
    <w:rPr>
      <w:rFonts w:ascii="Times New Roman" w:hAnsi="Times New Roman" w:eastAsia="宋体" w:cs="Times New Roman"/>
      <w:b/>
      <w:bCs/>
      <w:sz w:val="44"/>
      <w:szCs w:val="44"/>
      <w:lang w:val="en-US" w:eastAsia="zh-CN" w:bidi="ar-SA"/>
    </w:rPr>
  </w:style>
  <w:style w:type="paragraph" w:styleId="1101" w:customStyle="1">
    <w:name w:val="正文文本缩进1"/>
    <w:uiPriority w:val="0"/>
    <w:qFormat/>
    <w:pPr>
      <w:ind w:left="420"/>
      <w:jc w:val="both"/>
      <w:spacing w:after="120"/>
      <w:widowControl w:val="off"/>
    </w:pPr>
    <w:rPr>
      <w:rFonts w:ascii="Times New Roman" w:hAnsi="Times New Roman" w:eastAsia="宋体" w:cs="Times New Roman"/>
      <w:sz w:val="21"/>
      <w:szCs w:val="21"/>
      <w:lang w:val="en-US" w:eastAsia="zh-CN" w:bidi="ar-SA"/>
    </w:rPr>
  </w:style>
  <w:style w:type="paragraph" w:styleId="1102" w:customStyle="1">
    <w:name w:val="正文1"/>
    <w:basedOn w:val="907"/>
    <w:next w:val="1103"/>
    <w:uiPriority w:val="0"/>
    <w:qFormat/>
    <w:pPr>
      <w:jc w:val="left"/>
      <w:spacing w:line="360" w:lineRule="atLeast"/>
    </w:pPr>
    <w:rPr>
      <w:rFonts w:ascii="宋体" w:hAnsi="Calibri"/>
      <w:sz w:val="24"/>
      <w:szCs w:val="20"/>
    </w:rPr>
  </w:style>
  <w:style w:type="paragraph" w:styleId="1103" w:customStyle="1">
    <w:name w:val="正文文本1"/>
    <w:basedOn w:val="1102"/>
    <w:next w:val="1104"/>
    <w:uiPriority w:val="0"/>
    <w:qFormat/>
    <w:pPr>
      <w:spacing w:after="120"/>
    </w:pPr>
    <w:rPr>
      <w:lang w:eastAsia="en-US"/>
    </w:rPr>
  </w:style>
  <w:style w:type="paragraph" w:styleId="1104" w:customStyle="1">
    <w:name w:val="一级条标题"/>
    <w:basedOn w:val="1105"/>
    <w:next w:val="11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5" w:customStyle="1">
    <w:name w:val="章标题"/>
    <w:next w:val="90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6" w:customStyle="1">
    <w:name w:val="段"/>
    <w:basedOn w:val="1102"/>
    <w:next w:val="907"/>
    <w:uiPriority w:val="0"/>
    <w:qFormat/>
    <w:pPr>
      <w:ind w:firstLine="200"/>
      <w:widowControl/>
    </w:pPr>
    <w:rPr>
      <w:sz w:val="20"/>
    </w:rPr>
  </w:style>
  <w:style w:type="paragraph" w:styleId="1107" w:customStyle="1">
    <w:name w:val="正文_2"/>
    <w:uiPriority w:val="0"/>
    <w:qFormat/>
    <w:rPr>
      <w:rFonts w:ascii="Times New Roman" w:hAnsi="Times New Roman" w:eastAsia="宋体" w:cs="Times New Roman"/>
      <w:lang w:val="en-US" w:eastAsia="zh-CN" w:bidi="ar-SA"/>
    </w:rPr>
  </w:style>
  <w:style w:type="paragraph" w:styleId="1108" w:customStyle="1">
    <w:name w:val="普通正文"/>
    <w:basedOn w:val="907"/>
    <w:uiPriority w:val="0"/>
    <w:qFormat/>
    <w:pPr>
      <w:ind w:firstLine="480"/>
      <w:jc w:val="left"/>
      <w:spacing w:before="120" w:after="120" w:line="360" w:lineRule="auto"/>
    </w:pPr>
    <w:rPr>
      <w:rFonts w:ascii="Arial" w:hAnsi="Arial"/>
      <w:sz w:val="24"/>
      <w:szCs w:val="24"/>
    </w:rPr>
  </w:style>
  <w:style w:type="paragraph" w:styleId="1109" w:customStyle="1">
    <w:name w:val="Char"/>
    <w:basedOn w:val="907"/>
    <w:uiPriority w:val="0"/>
    <w:qFormat/>
    <w:pPr>
      <w:ind w:firstLine="200"/>
      <w:tabs>
        <w:tab w:val="left" w:pos="360" w:leader="none"/>
      </w:tabs>
    </w:pPr>
    <w:rPr>
      <w:sz w:val="28"/>
      <w:szCs w:val="30"/>
    </w:rPr>
  </w:style>
  <w:style w:type="paragraph" w:styleId="1110" w:customStyle="1">
    <w:name w:val="普通(网站)1"/>
    <w:basedOn w:val="907"/>
    <w:uiPriority w:val="0"/>
    <w:unhideWhenUsed/>
    <w:qFormat/>
    <w:pPr>
      <w:jc w:val="left"/>
    </w:pPr>
    <w:rPr>
      <w:rFonts w:ascii="Calibri" w:hAnsi="Calibri"/>
      <w:sz w:val="24"/>
      <w:szCs w:val="24"/>
    </w:rPr>
  </w:style>
  <w:style w:type="character" w:styleId="1111" w:customStyle="1">
    <w:name w:val="要点1"/>
    <w:uiPriority w:val="0"/>
    <w:qFormat/>
    <w:rPr>
      <w:rFonts w:hint="default" w:ascii="Times New Roman" w:hAnsi="Times New Roman" w:eastAsia="宋体" w:cs="Times New Roman"/>
      <w:sz w:val="21"/>
      <w:szCs w:val="22"/>
      <w:lang w:val="en-US" w:eastAsia="zh-CN" w:bidi="ar-SA"/>
    </w:rPr>
  </w:style>
  <w:style w:type="paragraph" w:styleId="1112" w:customStyle="1">
    <w:name w:val="日期1"/>
    <w:basedOn w:val="907"/>
    <w:next w:val="907"/>
    <w:uiPriority w:val="0"/>
    <w:qFormat/>
    <w:rPr>
      <w:sz w:val="24"/>
      <w:szCs w:val="20"/>
    </w:rPr>
  </w:style>
  <w:style w:type="paragraph" w:styleId="1113" w:customStyle="1">
    <w:name w:val="页眉1"/>
    <w:basedOn w:val="1114"/>
    <w:uiPriority w:val="0"/>
    <w:qFormat/>
    <w:pPr>
      <w:jc w:val="center"/>
      <w:tabs>
        <w:tab w:val="center" w:pos="4153" w:leader="none"/>
        <w:tab w:val="right" w:pos="8306" w:leader="none"/>
      </w:tabs>
      <w:pBdr>
        <w:bottom w:val="single" w:color="000000" w:sz="6" w:space="1"/>
      </w:pBdr>
    </w:pPr>
    <w:rPr>
      <w:sz w:val="18"/>
      <w:szCs w:val="18"/>
    </w:rPr>
  </w:style>
  <w:style w:type="paragraph" w:styleId="1114" w:customStyle="1">
    <w:name w:val="正文111"/>
    <w:next w:val="1115"/>
    <w:uiPriority w:val="0"/>
    <w:qFormat/>
    <w:pPr>
      <w:jc w:val="both"/>
      <w:widowControl w:val="off"/>
    </w:pPr>
    <w:rPr>
      <w:rFonts w:ascii="Calibri" w:hAnsi="Calibri" w:eastAsia="宋体" w:cs="Times New Roman"/>
      <w:sz w:val="21"/>
      <w:szCs w:val="24"/>
      <w:lang w:val="en-US" w:eastAsia="zh-CN" w:bidi="ar-SA"/>
    </w:rPr>
  </w:style>
  <w:style w:type="paragraph" w:styleId="1115" w:customStyle="1">
    <w:name w:val="文本块1"/>
    <w:basedOn w:val="1114"/>
    <w:uiPriority w:val="0"/>
    <w:qFormat/>
    <w:pPr>
      <w:ind w:left="567" w:right="454" w:firstLine="498"/>
      <w:jc w:val="left"/>
      <w:widowControl/>
    </w:pPr>
    <w:rPr>
      <w:rFonts w:ascii="仿宋_GB2312" w:eastAsia="仿宋_GB2312"/>
      <w:sz w:val="30"/>
      <w:szCs w:val="20"/>
    </w:rPr>
  </w:style>
  <w:style w:type="paragraph" w:styleId="1116" w:customStyle="1">
    <w:name w:val="页脚11"/>
    <w:basedOn w:val="907"/>
    <w:uiPriority w:val="99"/>
    <w:unhideWhenUsed/>
    <w:qFormat/>
    <w:pPr>
      <w:jc w:val="left"/>
      <w:tabs>
        <w:tab w:val="center" w:pos="4153" w:leader="none"/>
        <w:tab w:val="right" w:pos="8306" w:leader="none"/>
      </w:tabs>
    </w:pPr>
    <w:rPr>
      <w:sz w:val="18"/>
      <w:szCs w:val="18"/>
    </w:rPr>
  </w:style>
  <w:style w:type="paragraph" w:styleId="1117" w:customStyle="1">
    <w:name w:val="页脚1"/>
    <w:basedOn w:val="1114"/>
    <w:uiPriority w:val="0"/>
    <w:qFormat/>
    <w:pPr>
      <w:jc w:val="left"/>
      <w:tabs>
        <w:tab w:val="center" w:pos="4153" w:leader="none"/>
        <w:tab w:val="right" w:pos="8306" w:leader="none"/>
      </w:tabs>
    </w:pPr>
    <w:rPr>
      <w:sz w:val="18"/>
      <w:szCs w:val="18"/>
    </w:rPr>
  </w:style>
  <w:style w:type="paragraph" w:styleId="1118" w:customStyle="1">
    <w:name w:val="页眉11"/>
    <w:basedOn w:val="90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19">
    <w:name w:val="List Paragraph"/>
    <w:basedOn w:val="907"/>
    <w:uiPriority w:val="1"/>
    <w:qFormat/>
    <w:pPr>
      <w:ind w:left="580" w:firstLine="419"/>
    </w:pPr>
    <w:rPr>
      <w:rFonts w:ascii="宋体" w:hAnsi="宋体" w:cs="宋体"/>
    </w:rPr>
  </w:style>
  <w:style w:type="paragraph" w:styleId="112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正文_0_0"/>
    <w:uiPriority w:val="0"/>
    <w:qFormat/>
    <w:pPr>
      <w:jc w:val="both"/>
      <w:widowControl w:val="off"/>
    </w:pPr>
    <w:rPr>
      <w:rFonts w:ascii="Calibri" w:hAnsi="Calibri" w:eastAsia="宋体" w:cs="Times New Roman"/>
      <w:lang w:val="en-US" w:eastAsia="zh-CN" w:bidi="ar-SA"/>
    </w:rPr>
  </w:style>
  <w:style w:type="paragraph" w:styleId="1122" w:customStyle="1">
    <w:name w:val="正文11"/>
    <w:uiPriority w:val="99"/>
    <w:qFormat/>
    <w:pPr>
      <w:widowControl w:val="off"/>
    </w:pPr>
    <w:rPr>
      <w:rFonts w:ascii="Calibri" w:hAnsi="Calibri" w:eastAsia="宋体" w:cs="Times New Roman"/>
      <w:lang w:val="en-US" w:eastAsia="zh-CN" w:bidi="ar-SA"/>
    </w:rPr>
  </w:style>
  <w:style w:type="paragraph" w:styleId="1123" w:customStyle="1">
    <w:name w:val="正文_1"/>
    <w:uiPriority w:val="0"/>
    <w:qFormat/>
    <w:rPr>
      <w:rFonts w:ascii="Times New Roman" w:hAnsi="Times New Roman" w:eastAsia="宋体" w:cs="Times New Roman"/>
      <w:lang w:val="en-US" w:eastAsia="zh-CN" w:bidi="ar-SA"/>
    </w:rPr>
  </w:style>
  <w:style w:type="character" w:styleId="1124" w:customStyle="1">
    <w:name w:val="批注框文本 Char"/>
    <w:basedOn w:val="917"/>
    <w:link w:val="927"/>
    <w:uiPriority w:val="99"/>
    <w:semiHidden/>
    <w:qFormat/>
    <w:rPr>
      <w:sz w:val="18"/>
      <w:szCs w:val="18"/>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李嘉豪</dc:creator>
  <cp:lastModifiedBy>郭静</cp:lastModifiedBy>
  <cp:revision>4</cp:revision>
  <dcterms:created xsi:type="dcterms:W3CDTF">2026-04-23T07:41:00Z</dcterms:created>
  <dcterms:modified xsi:type="dcterms:W3CDTF">2026-04-23T11:18:51Z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9DD61AF79CB74D9F979321387A595FD4_13</vt:lpwstr>
  </property>
  <property fmtid="{D5CDD505-2E9C-101B-9397-08002B2CF9AE}" pid="4" name="KSOTemplateDocerSaveRecord">
    <vt:lpwstr>eyJoZGlkIjoiNjVlYjJhODI3Nzk5OTU0OTZiOWVmZTI1NGJlOTEwZjEiLCJ1c2VySWQiOiI3OTg5NjIzODYifQ==</vt:lpwstr>
  </property>
</Properties>
</file>